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政务数字门户平台 POC —— 系统架构设计</w:t>
      </w:r>
    </w:p>
    <w:p>
      <w:pPr>
        <w:spacing w:before="120" w:after="120"/>
        <w:ind w:left="567"/>
      </w:pPr>
      <w:r>
        <w:rPr>
          <w:i/>
          <w:color w:val="505050"/>
          <w:sz w:val="20"/>
        </w:rPr>
        <w:t xml:space="preserve">文档编号：DMP-ARCH-2026-001  </w:t>
      </w:r>
    </w:p>
    <w:p>
      <w:pPr>
        <w:spacing w:before="120" w:after="120"/>
        <w:ind w:left="567"/>
      </w:pPr>
      <w:r>
        <w:rPr>
          <w:i/>
          <w:color w:val="505050"/>
          <w:sz w:val="20"/>
        </w:rPr>
        <w:t xml:space="preserve">版本：V2.0（自建博客版）  </w:t>
      </w:r>
    </w:p>
    <w:p>
      <w:pPr>
        <w:spacing w:before="120" w:after="120"/>
        <w:ind w:left="567"/>
      </w:pPr>
      <w:r>
        <w:rPr>
          <w:i/>
          <w:color w:val="505050"/>
          <w:sz w:val="20"/>
        </w:rPr>
        <w:t xml:space="preserve">编写人：王振光（项目经理+架构师）  </w:t>
      </w:r>
    </w:p>
    <w:p>
      <w:pPr>
        <w:spacing w:before="120" w:after="120"/>
        <w:ind w:left="567"/>
      </w:pPr>
      <w:r>
        <w:rPr>
          <w:i/>
          <w:color w:val="505050"/>
          <w:sz w:val="20"/>
        </w:rPr>
        <w:t>日期：2026-06-12</w:t>
      </w:r>
    </w:p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 1. 总体架构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用户浏览器 (HTTP :80)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     │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     ▼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Nginx 1.25 (反向代理 + 路由分发)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     │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     ├── /         → yushe-blog.html (虞舍博客)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     ├── /api/     → Python API :8089 (博客+数据接口)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     └── /halo     → Halo :8090 (旧博客，保留)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     │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┌────┴────┐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▼         ▼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Python API  MySQL 8.0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(:8089)     (:3306)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│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└── blog_articles.json (文章存储)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│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▼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podman 容器引擎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│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▼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openEuler 22.03 ARM64 → FusionCompute → 鲲鹏 TaiShan 200</w:t>
      </w:r>
    </w:p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 2. 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技术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选型理由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服务器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鲲鹏 TaiShan 200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国产ARM处理器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虚拟化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FusionCompute 8.x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华为企业级平台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openEuler 22.03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华为开源，鲲鹏原生支持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容器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podman 3.4.4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openEuler原生，兼容docker命令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Web服务器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Nginx 1.25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高性能反向代理+路由分发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博客前端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虞舍（自建HTML+CSS+JS）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自主设计，轻量无依赖，暗黑模式+响应式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博客API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Python HTTP Server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轻量，JSON文件存储，与广白墙共享后端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MySQL 8.0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成熟稳定，ARM64官方镜像</w:t>
            </w:r>
          </w:p>
        </w:tc>
      </w:tr>
    </w:tbl>
    <w:p/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 3. 数据架构</w:t>
      </w:r>
    </w:p>
    <w:p>
      <w:pPr>
        <w:pStyle w:val="Heading3"/>
      </w:pPr>
      <w:r>
        <w:t># 文章存储结构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{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"id": "1781091950747141",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"title": "文章标题",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"content": "正文内容",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"category": "技术",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"tags": "标签1,标签2",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"createdAt": 1781091950747,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"views": 42,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"comments": [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  {"name": "读者", "text": "评论内容", "time": 1781091960112}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 ]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}</w:t>
      </w:r>
    </w:p>
    <w:p>
      <w:pPr>
        <w:pStyle w:val="Heading3"/>
      </w:pPr>
      <w:r>
        <w:t># API 端点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/api/blog/articles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获取文章列表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/api/blog/articles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发布文章（需密码）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/api/blog/articles/:id/view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增加阅览数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/api/blog/articles/:id/comments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发表评论</w:t>
            </w:r>
          </w:p>
        </w:tc>
      </w:tr>
    </w:tbl>
    <w:p/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 4. 设计决策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决策点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选择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博客系统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自建虞舍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自主设计、零依赖、完全可控，比Halo更轻量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存储方案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JSON文件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POC阶段够用，无需复杂ORM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后端语言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与广白墙共享一个HTTP Server，运维简单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前端框架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原生HTML/CSS/JS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零依赖，加载快，方便维护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反向代理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Nginx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统一80端口路由分发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 xml:space="preserve">第 </w:t>
    </w:r>
    <w:r>
      <w:rPr>
        <w:sz w:val="16"/>
      </w:rPr>
      <w:fldChar w:fldCharType="begin"/>
      <w:instrText> PAGE </w:instrText>
      <w:fldChar w:fldCharType="end"/>
    </w:r>
    <w:r>
      <w:rPr>
        <w:color w:val="8080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政务数字门户平台 POC —— 系统架构设计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