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sz w:val="52"/>
        </w:rPr>
        <w:t>项目需求分析</w:t>
      </w:r>
    </w:p>
    <w:p/>
    <w:p>
      <w:pPr>
        <w:jc w:val="center"/>
      </w:pPr>
      <w:r>
        <w:rPr>
          <w:rFonts w:ascii="微软雅黑" w:hAnsi="微软雅黑"/>
          <w:color w:val="646464"/>
          <w:sz w:val="28"/>
        </w:rPr>
        <w:t>—— 政务数字门户平台 POC</w:t>
      </w:r>
    </w:p>
    <w:p/>
    <w:p/>
    <w:p/>
    <w:p/>
    <w:p>
      <w:pPr>
        <w:jc w:val="center"/>
      </w:pPr>
      <w:r>
        <w:rPr>
          <w:rFonts w:ascii="仿宋" w:hAnsi="仿宋"/>
          <w:sz w:val="24"/>
        </w:rPr>
        <w:t>项目名称：政务数字门户平台 POC</w:t>
      </w:r>
    </w:p>
    <w:p>
      <w:pPr>
        <w:jc w:val="center"/>
      </w:pPr>
      <w:r>
        <w:rPr>
          <w:rFonts w:ascii="仿宋" w:hAnsi="仿宋"/>
          <w:sz w:val="24"/>
        </w:rPr>
        <w:t>小组编号：第X组</w:t>
      </w:r>
    </w:p>
    <w:p>
      <w:pPr>
        <w:jc w:val="center"/>
      </w:pPr>
      <w:r>
        <w:rPr>
          <w:rFonts w:ascii="仿宋" w:hAnsi="仿宋"/>
          <w:sz w:val="24"/>
        </w:rPr>
        <w:t>小组成员：王振光（项目经理）、胡翰斌、刘永涛、王浩乐</w:t>
      </w:r>
    </w:p>
    <w:p>
      <w:pPr>
        <w:jc w:val="center"/>
      </w:pPr>
      <w:r>
        <w:rPr>
          <w:rFonts w:ascii="仿宋" w:hAnsi="仿宋"/>
          <w:sz w:val="24"/>
        </w:rPr>
        <w:t>编写人：王振光（项目经理+架构师）</w:t>
      </w:r>
    </w:p>
    <w:p>
      <w:pPr>
        <w:jc w:val="center"/>
      </w:pPr>
      <w:r>
        <w:rPr>
          <w:rFonts w:ascii="仿宋" w:hAnsi="仿宋"/>
          <w:sz w:val="24"/>
        </w:rPr>
        <w:t>班级：24计算机科学与技术4班</w:t>
      </w:r>
    </w:p>
    <w:p>
      <w:pPr>
        <w:jc w:val="center"/>
      </w:pPr>
      <w:r>
        <w:rPr>
          <w:rFonts w:ascii="仿宋" w:hAnsi="仿宋"/>
          <w:sz w:val="24"/>
        </w:rPr>
        <w:t>日期：2026-07-05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1. 文档说明</w:t>
      </w:r>
    </w:p>
    <w:p>
      <w:r>
        <w:rPr>
          <w:rFonts w:ascii="仿宋" w:hAnsi="仿宋"/>
          <w:b w:val="0"/>
          <w:sz w:val="24"/>
        </w:rPr>
        <w:t>本文档基于客户（政务信息中心）的《业务需求规格说明书 BRD》，将业务语言转化为技术语言，形成技术团队可实施、可测试、可验收的详细需求规格。读者：架构师、实施工程师、测试工程师、客户技术接口人。</w:t>
      </w:r>
    </w:p>
    <w:p>
      <w:pPr>
        <w:pStyle w:val="Heading1"/>
      </w:pPr>
      <w:r>
        <w:rPr>
          <w:rFonts w:ascii="微软雅黑" w:hAnsi="微软雅黑"/>
        </w:rPr>
        <w:t>2. 功能需求（与 BRD 逐条对应）</w:t>
      </w:r>
    </w:p>
    <w:p>
      <w:pPr>
        <w:pStyle w:val="Heading2"/>
      </w:pPr>
      <w:r>
        <w:rPr>
          <w:rFonts w:ascii="微软雅黑" w:hAnsi="微软雅黑"/>
        </w:rPr>
        <w:t>2.1 基础设施需求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SRS 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对应 BRD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需求描述（技术化）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SRS-INF-01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BR-INF-01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 FusionCompute 上创建集群 BlogOps-Cluster，主机为鲲鹏 TaiShan 200；创建 2 台 VM，规格 2vCPU/4GB/40GB，OS 为 openEuler 22.03 LTS SP2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 界面集群状态正常；VM 运行中；uname -m 显示 aarch64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SRS-INF-02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BR-INF-02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划分 VLAN 10（管理网 192.168.10.0/24）和 VLAN 20（业务网 192.168.20.0/24）；安全组仅开放 22/80/443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 VLAN 互通测试通过；管理网无法直接访问业务网 3306 端口</w:t>
            </w:r>
          </w:p>
        </w:tc>
      </w:tr>
    </w:tbl>
    <w:p>
      <w:pPr>
        <w:pStyle w:val="Heading2"/>
      </w:pPr>
      <w:r>
        <w:rPr>
          <w:rFonts w:ascii="微软雅黑" w:hAnsi="微软雅黑"/>
        </w:rPr>
        <w:t>2.2 容器平台需求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SRS 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对应 BRD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需求描述（技术化）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SRS-PLT-01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BR-PLT-01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安装 Docker CE 24.x，配置 systemd 自启动；所有应用组件以容器运行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version Server &gt;=24.0；docker ps 显示所有业务容器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SRS-PLT-02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BR-PLT-02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部署私有镜像仓库（Registry），禁止生产环境直接拉 Docker 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push/pull 私有仓库测试通过</w:t>
            </w:r>
          </w:p>
        </w:tc>
      </w:tr>
    </w:tbl>
    <w:p>
      <w:pPr>
        <w:pStyle w:val="Heading2"/>
      </w:pPr>
      <w:r>
        <w:rPr>
          <w:rFonts w:ascii="微软雅黑" w:hAnsi="微软雅黑"/>
        </w:rPr>
        <w:t>2.3 应用功能需求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SRS 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对应 BRD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需求描述（技术化）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SRS-APP-01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BR-APP-01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部署 Halo v2.x（国产开源博客），Docker Compose 编排；支持 Markdown、代码高亮、分类、标签、全文检索、评论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浏览器访问首页正常；含代码块文章渲染正常；搜索返回结果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SRS-APP-02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BR-APP-02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博客后台审核工作流：文章默认草稿；审核员可执行通过/驳回；通过后前台可见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非管理员发布前台不可见；审核通过后前台刷新可见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SRS-APP-03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BR-APP-03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 8.0 数据持久化至宿主机 /data/mysql；博客文件持久化至 /data/halo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rm -f mysql 后重建容器数据不丢失</w:t>
            </w:r>
          </w:p>
        </w:tc>
      </w:tr>
    </w:tbl>
    <w:p>
      <w:pPr>
        <w:pStyle w:val="Heading2"/>
      </w:pPr>
      <w:r>
        <w:rPr>
          <w:rFonts w:ascii="微软雅黑" w:hAnsi="微软雅黑"/>
        </w:rPr>
        <w:t>2.4 安全需求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SRS 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对应 BRD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需求描述（技术化）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SRS-SEC-01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BR-SEC-01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Nginx 监听 80/443；80 强制跳转 443；SSL证书（POC自签名）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curl -I http://&lt;IP&gt; 返回 301；浏览器显示锁图标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SRS-SEC-02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BR-SEC-02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 3306 仅绑定业务网 IP；安全组拒绝管理网段访问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管理网 telnet 3306 失败；业务网成功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SRS-SEC-03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BR-SEC-03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SSH登录日志（/var/log/secure）+ 命令审计（/var/log/audit），保留90天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命令可查登录记录；ausearch 可检索历史命令</w:t>
            </w:r>
          </w:p>
        </w:tc>
      </w:tr>
    </w:tbl>
    <w:p>
      <w:pPr>
        <w:pStyle w:val="Heading2"/>
      </w:pPr>
      <w:r>
        <w:rPr>
          <w:rFonts w:ascii="微软雅黑" w:hAnsi="微软雅黑"/>
        </w:rPr>
        <w:t>2.5 运维需求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SRS 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对应 BRD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需求描述（技术化）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SRS-OPS-01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BR-OPS-01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部署 Prometheus + node_exporter + cAdvisor；Grafana 监控大盘展示 CPU/内存/磁盘/容器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Prometheus Targets 全部 UP；容器重启后监控自动恢复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SRS-OPS-02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BR-OPS-02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backup.sh 每日 02:00 mysqldump，压缩存储，保留 7 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crontab -l 显示定时任务；/data/backup/ 存在 7 天内备份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SRS-OPS-03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BR-OPS-03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deploy.sh 在全新 openEuler VM 上 30 分钟内完成全量部署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企业老师现场计时，首页可访问 &lt;=30 分钟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3. 非功能需求（量化）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SRS 编号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验收方法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SRS-NFR-01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页面平均响应时间 &lt;=3 秒（95分位）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 -n 1000 -c 50 &lt;URL&gt;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SRS-NFR-02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50 并发用户，错误率 0%，TPS &gt;=20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JMeter 50 线程压测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SRS-NFR-03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系统可用率 &gt;=99.9%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监控大盘统计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SRS-NFR-04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RTO &lt;=30 分钟（数据库故障场景）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模拟停止 MySQL，从备份恢复计时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SRS-NFR-05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RPO &lt;=24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备份策略为每日全量备份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SRS-NFR-06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兼容 Chrome/FF/Edge 120+ 及国产浏览器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实际打开测试，核心功能无阻断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4. 运行环境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版本/规格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 TaiShan 200（鲲鹏 920）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ARM64 架构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虚拟化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FusionCompute 8.x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集群 HA、DRS 开启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2vCPU/4GB/40GB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台，openEuler 22.03 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100GB thin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挂至数据库 VM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 24.x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配置镜像加速、日志轮转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v2.20+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插件形式安装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博客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Halo v2.x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国产开源，容器化运行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数据持久化至宿主机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1.24.x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反向代理 + SSL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监控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 + Grafana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容器 + 主机双维度监控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5. 需求跟踪矩阵（RTM）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BRD 编号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BRD 需求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SRS 编号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SRS 需求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设计文档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BR-INF-01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鲲鹏 ARM 虚拟化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SRS-INF-01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FC 集群 + 2 台 VM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架构设计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BR-INF-02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网络分区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SRS-INF-02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VLAN10/20 + 安全组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架构设计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BR-PLT-01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容器部署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SRS-PLT-01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Docker CE 24.x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架构设计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BR-APP-01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博客功能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SRS-APP-01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Halo 部署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部署手册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BR-APP-02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审核流程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SRS-APP-02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草稿-&gt;审核-&gt;发布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部署手册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BR-APP-03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数据持久化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SRS-APP-03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MySQL 宿主机挂载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部署手册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BR-SEC-01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SRS-SEC-01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Nginx 443 + SSL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运维手册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BR-SEC-02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数据库访问控制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SRS-SEC-02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3306 仅业务网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运维手册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BR-SEC-03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操作审计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SRS-SEC-03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auditd + secure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运维手册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BR-OPS-01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监控可视化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SRS-OPS-01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Prometheus + Grafana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运维手册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BR-OPS-02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自动备份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SRS-OPS-02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backup.sh + crontab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运维手册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BR-OPS-03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一键部署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SRS-OPS-03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deploy.sh &lt;=30min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运维手册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BR-DOC-01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交付文档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SRS-DOC-01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三套手册 + 模板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已实现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