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 w:line="240" w:lineRule="auto"/>
      </w:pPr>
      <w:r>
        <w:rPr>
          <w:b/>
          <w:i w:val="0"/>
          <w:sz w:val="24"/>
        </w:rPr>
        <w:t>Tabla 6</w:t>
      </w:r>
    </w:p>
    <w:p>
      <w:pPr>
        <w:spacing w:after="120" w:before="0" w:line="240" w:lineRule="auto"/>
      </w:pPr>
      <w:r>
        <w:rPr>
          <w:b w:val="0"/>
          <w:i/>
          <w:sz w:val="24"/>
        </w:rPr>
        <w:t>Vicios de motivación según la tipología Llamoja (STC 00728-2008-PHC/TC) en las sentencias anuladas, por período procesal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70"/>
        <w:gridCol w:w="1300"/>
        <w:gridCol w:w="900"/>
        <w:gridCol w:w="1300"/>
        <w:gridCol w:w="900"/>
      </w:tblGrid>
      <w:tr>
        <w:tc>
          <w:tcPr>
            <w:tcW w:type="dxa" w:w="427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Grupo / Causal</w:t>
            </w:r>
          </w:p>
        </w:tc>
        <w:tc>
          <w:tcPr>
            <w:tcW w:type="dxa" w:w="13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Tradicional (n = 53)</w:t>
            </w:r>
          </w:p>
        </w:tc>
        <w:tc>
          <w:tcPr>
            <w:tcW w:type="dxa" w:w="9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%</w:t>
            </w:r>
          </w:p>
        </w:tc>
        <w:tc>
          <w:tcPr>
            <w:tcW w:type="dxa" w:w="13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Oralidad (n = 52)</w:t>
            </w:r>
          </w:p>
        </w:tc>
        <w:tc>
          <w:tcPr>
            <w:tcW w:type="dxa" w:w="9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%</w:t>
            </w:r>
          </w:p>
        </w:tc>
      </w:tr>
      <w:tr>
        <w:tc>
          <w:tcPr>
            <w:tcW w:type="dxa" w:w="8670"/>
            <w:gridSpan w:val="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A. Vicios de motivación (supuesto principal)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a) Inexistencia de motivación o motivación aparente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11,3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13,5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b) Falta de motivación interna del razonamiento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9,4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7,7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c) Deficiencias en la motivación externa (justificación de las premisas)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15,1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15,4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d) Motivación insuficiente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17,0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19,2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e) Motivación sustancialmente incongruente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20,8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11,5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f) Motivaciones cualificadas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0,0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0,0</w:t>
            </w:r>
          </w:p>
        </w:tc>
      </w:tr>
      <w:tr>
        <w:tc>
          <w:tcPr>
            <w:tcW w:type="dxa" w:w="8670"/>
            <w:gridSpan w:val="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B. Nulidad sin vicio de motivación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Vicio procesal, nulidad concatenada o por hecho sobreviniente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26,4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32,7</w:t>
            </w:r>
          </w:p>
        </w:tc>
      </w:tr>
      <w:tr>
        <w:tc>
          <w:tcPr>
            <w:tcW w:type="dxa" w:w="427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type="dxa" w:w="13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sz w:val="22"/>
              </w:rPr>
              <w:t>53</w:t>
            </w:r>
          </w:p>
        </w:tc>
        <w:tc>
          <w:tcPr>
            <w:tcW w:type="dxa" w:w="9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sz w:val="22"/>
              </w:rPr>
              <w:t>100,0</w:t>
            </w:r>
          </w:p>
        </w:tc>
        <w:tc>
          <w:tcPr>
            <w:tcW w:type="dxa" w:w="13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sz w:val="22"/>
              </w:rPr>
              <w:t>52</w:t>
            </w:r>
          </w:p>
        </w:tc>
        <w:tc>
          <w:tcPr>
            <w:tcW w:type="dxa" w:w="9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sz w:val="22"/>
              </w:rPr>
              <w:t>100,0</w:t>
            </w:r>
          </w:p>
        </w:tc>
      </w:tr>
    </w:tbl>
    <w:p>
      <w:pPr>
        <w:spacing w:after="0" w:before="80" w:line="240" w:lineRule="auto"/>
        <w:jc w:val="both"/>
      </w:pPr>
      <w:r>
        <w:rPr>
          <w:b w:val="0"/>
          <w:i w:val="0"/>
          <w:sz w:val="22"/>
        </w:rPr>
      </w:r>
      <w:r>
        <w:rPr>
          <w:i/>
          <w:sz w:val="22"/>
        </w:rPr>
        <w:t xml:space="preserve">Nota. </w:t>
      </w:r>
      <w:r>
        <w:rPr>
          <w:sz w:val="22"/>
        </w:rPr>
        <w:t>Elaboración propia. Una sola categoría por sentencia: el supuesto principal que sustenta la ratio decidendi de la Sala. Solo sentencias de vista que declaran la NULIDAD; se excluyen las revocadas. En el expediente 00072-2023 la Sala califica un vicio mixto b) y c); se computa en b). Fuente: Corpus_Llamoja_UNIFICADO.xlsx (hojas Tipologia_Llamoja, Llamoja_17_ABR18 y Sumarisimo_Llamoja) y Corpus_unificado_CORREGIDO_SV_CSJA_2_TOTAL_3_FIN.xlsx (hoja Corpus_corregido).</w:t>
      </w:r>
    </w:p>
    <w:p>
      <w:pPr>
        <w:spacing w:after="0" w:before="240" w:line="240" w:lineRule="auto"/>
      </w:pPr>
      <w:r>
        <w:rPr>
          <w:b/>
          <w:i w:val="0"/>
          <w:sz w:val="24"/>
        </w:rPr>
        <w:t>Tabla 7</w:t>
      </w:r>
    </w:p>
    <w:p>
      <w:pPr>
        <w:spacing w:after="120" w:before="0" w:line="240" w:lineRule="auto"/>
      </w:pPr>
      <w:r>
        <w:rPr>
          <w:b w:val="0"/>
          <w:i/>
          <w:sz w:val="24"/>
        </w:rPr>
        <w:t>Causales de motivación declaradas por la Sala, agrupadas según el supuesto Llamoja, en las sentencias anuladas, por período procesal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70"/>
        <w:gridCol w:w="1300"/>
        <w:gridCol w:w="900"/>
        <w:gridCol w:w="1300"/>
        <w:gridCol w:w="900"/>
      </w:tblGrid>
      <w:tr>
        <w:tc>
          <w:tcPr>
            <w:tcW w:type="dxa" w:w="427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Grupo / Causal</w:t>
            </w:r>
          </w:p>
        </w:tc>
        <w:tc>
          <w:tcPr>
            <w:tcW w:type="dxa" w:w="13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Tradicional (n = 53)</w:t>
            </w:r>
          </w:p>
        </w:tc>
        <w:tc>
          <w:tcPr>
            <w:tcW w:type="dxa" w:w="9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%</w:t>
            </w:r>
          </w:p>
        </w:tc>
        <w:tc>
          <w:tcPr>
            <w:tcW w:type="dxa" w:w="13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Oralidad (n = 52)</w:t>
            </w:r>
          </w:p>
        </w:tc>
        <w:tc>
          <w:tcPr>
            <w:tcW w:type="dxa" w:w="9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%</w:t>
            </w:r>
          </w:p>
        </w:tc>
      </w:tr>
      <w:tr>
        <w:tc>
          <w:tcPr>
            <w:tcW w:type="dxa" w:w="8670"/>
            <w:gridSpan w:val="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A. Inexistencia de motivación o motivación aparente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D14 Motivación aparente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9,4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9,6</w:t>
            </w:r>
          </w:p>
        </w:tc>
      </w:tr>
      <w:tr>
        <w:tc>
          <w:tcPr>
            <w:tcW w:type="dxa" w:w="8670"/>
            <w:gridSpan w:val="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B. Falta de motivación interna del razonamiento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D15 Falta o defecto interno de motivación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9,4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7,7</w:t>
            </w:r>
          </w:p>
        </w:tc>
      </w:tr>
      <w:tr>
        <w:tc>
          <w:tcPr>
            <w:tcW w:type="dxa" w:w="8670"/>
            <w:gridSpan w:val="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C. Deficiencias en la motivación externa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D21 Deficiencia en la justificación de las premisas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5,7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11,5</w:t>
            </w:r>
          </w:p>
        </w:tc>
      </w:tr>
      <w:tr>
        <w:tc>
          <w:tcPr>
            <w:tcW w:type="dxa" w:w="8670"/>
            <w:gridSpan w:val="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D. Motivación insuficiente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D13 Motivación insuficiente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13,2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21,2</w:t>
            </w:r>
          </w:p>
        </w:tc>
      </w:tr>
      <w:tr>
        <w:tc>
          <w:tcPr>
            <w:tcW w:type="dxa" w:w="8670"/>
            <w:gridSpan w:val="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E. Motivación sustancialmente incongruente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D16 Incongruencia procesal (ultra, extra o citra petita)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32,1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25,0</w:t>
            </w:r>
          </w:p>
        </w:tc>
      </w:tr>
      <w:tr>
        <w:tc>
          <w:tcPr>
            <w:tcW w:type="dxa" w:w="8670"/>
            <w:gridSpan w:val="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F. Motivaciones cualificadas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Sin causal declarada en el corpus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0,0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0,0</w:t>
            </w:r>
          </w:p>
        </w:tc>
      </w:tr>
      <w:tr>
        <w:tc>
          <w:tcPr>
            <w:tcW w:type="dxa" w:w="8670"/>
            <w:gridSpan w:val="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G. Motivación defectuosa sin especificar el supuesto</w:t>
            </w:r>
          </w:p>
        </w:tc>
      </w:tr>
      <w:tr>
        <w:tc>
          <w:tcPr>
            <w:tcW w:type="dxa" w:w="427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2"/>
              </w:rPr>
              <w:t>D23 Fórmula genérica («no está debidamente motivada»)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18,9</w:t>
            </w:r>
          </w:p>
        </w:tc>
        <w:tc>
          <w:tcPr>
            <w:tcW w:type="dxa" w:w="13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60" w:after="60"/>
              <w:jc w:val="right"/>
            </w:pPr>
            <w:r>
              <w:rPr>
                <w:b w:val="0"/>
                <w:sz w:val="22"/>
              </w:rPr>
              <w:t>17,3</w:t>
            </w:r>
          </w:p>
        </w:tc>
      </w:tr>
      <w:tr>
        <w:tc>
          <w:tcPr>
            <w:tcW w:type="dxa" w:w="427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2"/>
              </w:rPr>
              <w:t>Sentencias con al menos un vicio a) – e)</w:t>
            </w:r>
          </w:p>
        </w:tc>
        <w:tc>
          <w:tcPr>
            <w:tcW w:type="dxa" w:w="13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sz w:val="22"/>
              </w:rPr>
              <w:t>30</w:t>
            </w:r>
          </w:p>
        </w:tc>
        <w:tc>
          <w:tcPr>
            <w:tcW w:type="dxa" w:w="9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sz w:val="22"/>
              </w:rPr>
              <w:t>56,6</w:t>
            </w:r>
          </w:p>
        </w:tc>
        <w:tc>
          <w:tcPr>
            <w:tcW w:type="dxa" w:w="13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sz w:val="22"/>
              </w:rPr>
              <w:t>29</w:t>
            </w:r>
          </w:p>
        </w:tc>
        <w:tc>
          <w:tcPr>
            <w:tcW w:type="dxa" w:w="900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sz w:val="22"/>
              </w:rPr>
              <w:t>55,8</w:t>
            </w:r>
          </w:p>
        </w:tc>
      </w:tr>
    </w:tbl>
    <w:p>
      <w:pPr>
        <w:spacing w:after="0" w:before="80" w:line="240" w:lineRule="auto"/>
        <w:jc w:val="both"/>
      </w:pPr>
      <w:r>
        <w:rPr>
          <w:b w:val="0"/>
          <w:i w:val="0"/>
          <w:sz w:val="22"/>
        </w:rPr>
      </w:r>
      <w:r>
        <w:rPr>
          <w:i/>
          <w:sz w:val="22"/>
        </w:rPr>
        <w:t xml:space="preserve">Nota. </w:t>
      </w:r>
      <w:r>
        <w:rPr>
          <w:sz w:val="22"/>
        </w:rPr>
        <w:t>Elaboración propia. Una sentencia puede registrar varias causales, por lo que las filas no suman el total. Solo se cuentan las causales con estatus DECLARADO por la Sala y solo en sentencias que declaran la NULIDAD; se excluyen las revocadas. Si se añade D23, las sentencias con algún vicio de motivación son 35 en cada período (66,0 % y 67,3 %). Fuente: Corpus_unificado_CORREGIDO_SV_CSJA_2_TOTAL_3_FIN.xlsx, hoja Marcas_declaradas.</w:t>
      </w:r>
    </w:p>
    <w:sectPr w:rsidR="00FC693F" w:rsidRPr="0006063C" w:rsidSect="00034616"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