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3864"/>
          <w:sz w:val="36"/>
          <w:szCs w:val="36"/>
        </w:rPr>
        <w:t xml:space="preserve">Informe de coherencia y propuesta de recomendaciones</w:t>
      </w:r>
    </w:p>
    <w:p>
      <w:pPr>
        <w:spacing w:after="120" w:line="276"/>
      </w:pPr>
      <w:r>
        <w:rPr>
          <w:rFonts w:ascii="Arial" w:cs="Arial" w:eastAsia="Arial" w:hAnsi="Arial"/>
          <w:i/>
          <w:iCs/>
          <w:color w:val="595959"/>
        </w:rPr>
        <w:t xml:space="preserve">Tesis: Efectividad del Modelo de Oralidad Civil en las sentencias de los Juzgados Civiles de la Sede Central de la Corte Superior de Justicia de Arequipa</w:t>
      </w:r>
    </w:p>
    <w:p>
      <w:pPr>
        <w:spacing w:after="240"/>
      </w:pPr>
      <w:r>
        <w:rPr>
          <w:rFonts w:ascii="Arial" w:cs="Arial" w:eastAsia="Arial" w:hAnsi="Arial"/>
          <w:color w:val="595959"/>
          <w:sz w:val="18"/>
          <w:szCs w:val="18"/>
        </w:rPr>
        <w:t xml:space="preserve">Documentos revisados: RESULTADOS (Cap. VI y VII), DISCUSIÓN (final 4) y APORTES, CONCLUSIONES Y RECOMENDACIONES. Fecha: 29 de septiembre de 2026.</w:t>
      </w:r>
    </w:p>
    <w:p>
      <w:pPr>
        <w:pStyle w:val="Heading1"/>
        <w:spacing w:after="160" w:before="360"/>
      </w:pPr>
      <w:r>
        <w:rPr>
          <w:rFonts w:ascii="Arial" w:cs="Arial" w:eastAsia="Arial" w:hAnsi="Arial"/>
        </w:rPr>
        <w:t xml:space="preserve">A. Resumen</w:t>
      </w:r>
    </w:p>
    <w:p>
      <w:pPr>
        <w:spacing w:after="120" w:line="276"/>
        <w:jc w:val="both"/>
      </w:pPr>
      <w:r>
        <w:rPr>
          <w:rFonts w:ascii="Arial" w:cs="Arial" w:eastAsia="Arial" w:hAnsi="Arial"/>
          <w:b/>
          <w:bCs/>
        </w:rPr>
        <w:t xml:space="preserve">Criterio aplicado. </w:t>
      </w:r>
      <w:r>
        <w:rPr>
          <w:rFonts w:ascii="Arial" w:cs="Arial" w:eastAsia="Arial" w:hAnsi="Arial"/>
        </w:rPr>
        <w:t xml:space="preserve">Se tomó como fuente única de cifras el Capítulo VI (Resultados), verificado contra el Excel </w:t>
      </w:r>
      <w:r>
        <w:rPr>
          <w:rFonts w:ascii="Arial" w:cs="Arial" w:eastAsia="Arial" w:hAnsi="Arial"/>
          <w:i/>
          <w:iCs/>
        </w:rPr>
        <w:t xml:space="preserve">Corpus_Llamoja_UNIFICADO.xlsx</w:t>
      </w:r>
      <w:r>
        <w:rPr>
          <w:rFonts w:ascii="Arial" w:cs="Arial" w:eastAsia="Arial" w:hAnsi="Arial"/>
        </w:rPr>
        <w:t xml:space="preserve"> (hojas Corpus_corregido y Marcas_declaradas). Toda cifra de la Discusión, los Aportes, las Conclusiones o las Recomendaciones debe figurar en una tabla del Cap. VI; toda interpretación debe respetar los límites que la propia Discusión declara (alcance descriptivo, sin atribución causal exclusiva y sin mezclar bases de comparación).</w:t>
      </w:r>
    </w:p>
    <w:p>
      <w:pPr>
        <w:spacing w:after="120" w:line="276"/>
        <w:jc w:val="both"/>
      </w:pPr>
      <w:r>
        <w:rPr>
          <w:rFonts w:ascii="Arial" w:cs="Arial" w:eastAsia="Arial" w:hAnsi="Arial"/>
          <w:b/>
          <w:bCs/>
        </w:rPr>
        <w:t xml:space="preserve">Cómo usar los archivos marcados. </w:t>
      </w:r>
      <w:r>
        <w:rPr>
          <w:rFonts w:ascii="Arial" w:cs="Arial" w:eastAsia="Arial" w:hAnsi="Arial"/>
        </w:rPr>
        <w:t xml:space="preserve">Cada documento tiene una copia «MARCADO_…» con el texto intacto, la parte que debe cambiar resaltada y un comentario de Word con cuatro datos: el problema, el documento o apartado al que contradice y el texto sugerido. Los colores son: </w:t>
      </w:r>
      <w:r>
        <w:rPr>
          <w:rFonts w:ascii="Arial" w:cs="Arial" w:eastAsia="Arial" w:hAnsi="Arial"/>
          <w:b/>
          <w:bCs/>
          <w:highlight w:val="magenta"/>
        </w:rPr>
        <w:t xml:space="preserve">rosado</w:t>
      </w:r>
      <w:r>
        <w:rPr>
          <w:rFonts w:ascii="Arial" w:cs="Arial" w:eastAsia="Arial" w:hAnsi="Arial"/>
        </w:rPr>
        <w:t xml:space="preserve"> = cifra desactualizada o que no coincide con el Cap. VI; </w:t>
      </w:r>
      <w:r>
        <w:rPr>
          <w:rFonts w:ascii="Arial" w:cs="Arial" w:eastAsia="Arial" w:hAnsi="Arial"/>
          <w:b/>
          <w:bCs/>
          <w:highlight w:val="yellow"/>
        </w:rPr>
        <w:t xml:space="preserve">amarillo</w:t>
      </w:r>
      <w:r>
        <w:rPr>
          <w:rFonts w:ascii="Arial" w:cs="Arial" w:eastAsia="Arial" w:hAnsi="Arial"/>
        </w:rPr>
        <w:t xml:space="preserve"> = interpretación que contradice a otro documento o excede los datos; </w:t>
      </w:r>
      <w:r>
        <w:rPr>
          <w:rFonts w:ascii="Arial" w:cs="Arial" w:eastAsia="Arial" w:hAnsi="Arial"/>
          <w:b/>
          <w:bCs/>
          <w:highlight w:val="cyan"/>
        </w:rPr>
        <w:t xml:space="preserve">turquesa</w:t>
      </w:r>
      <w:r>
        <w:rPr>
          <w:rFonts w:ascii="Arial" w:cs="Arial" w:eastAsia="Arial" w:hAnsi="Arial"/>
        </w:rPr>
        <w:t xml:space="preserve"> = forma (numeración, remisiones, redacción). Los códigos R-, D- y A- de los comentarios coinciden con la matriz del Anexo (Parte 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1500"/>
        <w:gridCol w:w="1500"/>
        <w:gridCol w:w="1500"/>
        <w:gridCol w:w="1500"/>
      </w:tblGrid>
      <w:tr>
        <w:trPr>
          <w:tblHeader/>
        </w:trPr>
        <w:tc>
          <w:tcPr>
            <w:tcW w:type="dxa" w:w="36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Documento</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Cifra</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Interpretación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Forma</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Total</w:t>
            </w:r>
          </w:p>
        </w:tc>
      </w:tr>
      <w:tr>
        <w:trPr>
          <w:cantSplit w:val="off"/>
        </w:trPr>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RESULTADOS (Cap. VI y VII)</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8"/>
                <w:szCs w:val="18"/>
              </w:rPr>
              <w:t xml:space="preserve">15</w:t>
            </w:r>
          </w:p>
        </w:tc>
      </w:tr>
      <w:tr>
        <w:trPr>
          <w:cantSplit w:val="off"/>
        </w:trPr>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DISCUSIÓN (final 4, «Capítulo V»)</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9</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14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7</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8"/>
                <w:szCs w:val="18"/>
              </w:rPr>
              <w:t xml:space="preserve">30</w:t>
            </w:r>
          </w:p>
        </w:tc>
      </w:tr>
      <w:tr>
        <w:trPr>
          <w:cantSplit w:val="off"/>
        </w:trPr>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APORTES, CONCLUSIONES Y RECOMENDACIONES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18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18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8"/>
                <w:szCs w:val="18"/>
              </w:rPr>
              <w:t xml:space="preserve">38</w:t>
            </w:r>
          </w:p>
        </w:tc>
      </w:tr>
      <w:tr>
        <w:trPr>
          <w:cantSplit w:val="off"/>
        </w:trPr>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8"/>
                <w:szCs w:val="18"/>
              </w:rPr>
              <w:t xml:space="preserve">Total</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32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36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15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8"/>
                <w:szCs w:val="18"/>
              </w:rPr>
              <w:t xml:space="preserve">83</w:t>
            </w:r>
          </w:p>
        </w:tc>
      </w:tr>
    </w:tbl>
    <w:p>
      <w:pPr>
        <w:spacing w:after="60"/>
      </w:pPr>
      <w:r>
        <w:rPr>
          <w:rFonts w:ascii="Arial" w:cs="Arial" w:eastAsia="Arial" w:hAnsi="Arial"/>
        </w:rPr>
        <w:t xml:space="preserve"/>
      </w:r>
    </w:p>
    <w:p>
      <w:pPr>
        <w:pStyle w:val="Heading2"/>
        <w:spacing w:after="120" w:before="240"/>
      </w:pPr>
      <w:r>
        <w:rPr>
          <w:rFonts w:ascii="Arial" w:cs="Arial" w:eastAsia="Arial" w:hAnsi="Arial"/>
        </w:rPr>
        <w:t xml:space="preserve">Hallazgos principales</w:t>
      </w:r>
    </w:p>
    <w:p>
      <w:pPr>
        <w:pStyle w:val="ListParagraph"/>
        <w:numPr>
          <w:ilvl w:val="0"/>
          <w:numId w:val="2"/>
        </w:numPr>
        <w:spacing w:after="80" w:line="264"/>
        <w:jc w:val="both"/>
      </w:pPr>
      <w:r>
        <w:rPr>
          <w:rFonts w:ascii="Arial" w:cs="Arial" w:eastAsia="Arial" w:hAnsi="Arial"/>
          <w:b/>
          <w:bCs/>
        </w:rPr>
        <w:t xml:space="preserve">Aportes y Conclusiones usan un corpus anterior. </w:t>
      </w:r>
      <w:r>
        <w:rPr>
          <w:rFonts w:ascii="Arial" w:cs="Arial" w:eastAsia="Arial" w:hAnsi="Arial"/>
        </w:rPr>
        <w:t xml:space="preserve">Hablan de 100 expedientes (43/57) y 113 sentencias de vista, y de una concentración que va del 20,9 % al 77,2 %. Los Resultados trabajan con 167 expedientes (87/80), 163 sentencias de vista (105 anuladas: 53/52) y una concentración del 20,7 % al 71,3 %. Casi todas las cifras de Aportes y Conclusiones deben reemplazarse (Parte B).</w:t>
      </w:r>
    </w:p>
    <w:p>
      <w:pPr>
        <w:pStyle w:val="ListParagraph"/>
        <w:numPr>
          <w:ilvl w:val="0"/>
          <w:numId w:val="2"/>
        </w:numPr>
        <w:spacing w:after="80" w:line="264"/>
        <w:jc w:val="both"/>
      </w:pPr>
      <w:r>
        <w:rPr>
          <w:rFonts w:ascii="Arial" w:cs="Arial" w:eastAsia="Arial" w:hAnsi="Arial"/>
          <w:b/>
          <w:bCs/>
        </w:rPr>
        <w:t xml:space="preserve">Hay dos Tablas 6 distintas. </w:t>
      </w:r>
      <w:r>
        <w:rPr>
          <w:rFonts w:ascii="Arial" w:cs="Arial" w:eastAsia="Arial" w:hAnsi="Arial"/>
        </w:rPr>
        <w:t xml:space="preserve">La del archivo DISCUSIÓN da a d) motivación insuficiente 13,2 % → 21,2 %; la del Cap. VI da 15,1 % → 28,8 %. El Excel confirma la segunda (unión D13 ∪ D11 = 8 de 53 y 15 de 52). La tabla de la Discusión, además, omite la fila g), define las «familias» de otra manera, mezcla el universo 281/328 con las columnas n = 53/52 y perdió sus notas.</w:t>
      </w:r>
    </w:p>
    <w:p>
      <w:pPr>
        <w:pStyle w:val="ListParagraph"/>
        <w:numPr>
          <w:ilvl w:val="0"/>
          <w:numId w:val="2"/>
        </w:numPr>
        <w:spacing w:after="80" w:line="264"/>
        <w:jc w:val="both"/>
      </w:pPr>
      <w:r>
        <w:rPr>
          <w:rFonts w:ascii="Arial" w:cs="Arial" w:eastAsia="Arial" w:hAnsi="Arial"/>
          <w:b/>
          <w:bCs/>
        </w:rPr>
        <w:t xml:space="preserve">Hay dos Discusiones con posiciones opuestas. </w:t>
      </w:r>
      <w:r>
        <w:rPr>
          <w:rFonts w:ascii="Arial" w:cs="Arial" w:eastAsia="Arial" w:hAnsi="Arial"/>
        </w:rPr>
        <w:t xml:space="preserve">El Cap. VII del archivo RESULTADOS es cauteloso («no permite descartar causas locales», «no demuestra un vacío legislativo», «el ahorro temporal debe medirse»). El archivo DISCUSIÓN afirma lo contrario en al menos doce puntos («descarta», «confirma», «demuestra», «la ganancia es real»). Debe quedar una sola.</w:t>
      </w:r>
    </w:p>
    <w:p>
      <w:pPr>
        <w:pStyle w:val="ListParagraph"/>
        <w:numPr>
          <w:ilvl w:val="0"/>
          <w:numId w:val="2"/>
        </w:numPr>
        <w:spacing w:after="80" w:line="264"/>
        <w:jc w:val="both"/>
      </w:pPr>
      <w:r>
        <w:rPr>
          <w:rFonts w:ascii="Arial" w:cs="Arial" w:eastAsia="Arial" w:hAnsi="Arial"/>
          <w:b/>
          <w:bCs/>
        </w:rPr>
        <w:t xml:space="preserve">Se citan cifras que no están en los Resultados. </w:t>
      </w:r>
      <w:r>
        <w:rPr>
          <w:rFonts w:ascii="Arial" w:cs="Arial" w:eastAsia="Arial" w:hAnsi="Arial"/>
        </w:rPr>
        <w:t xml:space="preserve">318,6 y 313,3 días; reincidencia anulatoria del 48,8 % al 19,3 %; concordancia del 76,5 % y el 66,0 %; «once» sentencias en audiencia (son cinco); p = 0,002; y las Tablas 7, 9, 10, 13, 14 y 15.</w:t>
      </w:r>
    </w:p>
    <w:p>
      <w:pPr>
        <w:pStyle w:val="ListParagraph"/>
        <w:numPr>
          <w:ilvl w:val="0"/>
          <w:numId w:val="2"/>
        </w:numPr>
        <w:spacing w:after="80" w:line="264"/>
        <w:jc w:val="both"/>
      </w:pPr>
      <w:r>
        <w:rPr>
          <w:rFonts w:ascii="Arial" w:cs="Arial" w:eastAsia="Arial" w:hAnsi="Arial"/>
          <w:b/>
          <w:bCs/>
        </w:rPr>
        <w:t xml:space="preserve">Dos de las tres recomendaciones actuales contradicen la propia Discusión. </w:t>
      </w:r>
      <w:r>
        <w:rPr>
          <w:rFonts w:ascii="Arial" w:cs="Arial" w:eastAsia="Arial" w:hAnsi="Arial"/>
        </w:rPr>
        <w:t xml:space="preserve">La incorporación al Código Procesal Civil contradice lo que dice el Cap. VII, 2.5: «no demuestra un vacío legislativo». La reforma de la apelación como «cuello de botella» contradice «no permite… identificarla como principal origen de la demora». La propuesta de la Parte D las reformula.</w:t>
      </w:r>
    </w:p>
    <w:p>
      <w:pPr>
        <w:pStyle w:val="ListParagraph"/>
        <w:numPr>
          <w:ilvl w:val="0"/>
          <w:numId w:val="2"/>
        </w:numPr>
        <w:spacing w:after="80" w:line="264"/>
        <w:jc w:val="both"/>
      </w:pPr>
      <w:r>
        <w:rPr>
          <w:rFonts w:ascii="Arial" w:cs="Arial" w:eastAsia="Arial" w:hAnsi="Arial"/>
          <w:b/>
          <w:bCs/>
        </w:rPr>
        <w:t xml:space="preserve">Algunos datos actuales van en sentido contrario a lo que afirman los Aportes. </w:t>
      </w:r>
      <w:r>
        <w:rPr>
          <w:rFonts w:ascii="Arial" w:cs="Arial" w:eastAsia="Arial" w:hAnsi="Arial"/>
        </w:rPr>
        <w:t xml:space="preserve">Por ejemplo, el control adverso no se desplazó de la nulidad a la revocatoria: dentro de los pronunciamientos adversos, la anulación sube del 62,9 % al 73,3 % en las series anuales, porque baja la revocación y la anulación se mantiene.</w:t>
      </w:r>
    </w:p>
    <w:p>
      <w:pPr>
        <w:pStyle w:val="Heading2"/>
        <w:spacing w:after="120" w:before="240"/>
      </w:pPr>
      <w:r>
        <w:rPr>
          <w:rFonts w:ascii="Arial" w:cs="Arial" w:eastAsia="Arial" w:hAnsi="Arial"/>
        </w:rPr>
        <w:t xml:space="preserve">Decisiones que debe tomar el autor antes de corregir</w:t>
      </w:r>
    </w:p>
    <w:p>
      <w:pPr>
        <w:pStyle w:val="ListParagraph"/>
        <w:numPr>
          <w:ilvl w:val="0"/>
          <w:numId w:val="3"/>
        </w:numPr>
        <w:spacing w:after="80" w:line="264"/>
        <w:jc w:val="both"/>
      </w:pPr>
      <w:r>
        <w:rPr>
          <w:rFonts w:ascii="Arial" w:cs="Arial" w:eastAsia="Arial" w:hAnsi="Arial"/>
        </w:rPr>
        <w:t xml:space="preserve">Elegir una sola Discusión. Sugerencia: conservar el archivo DISCUSIÓN (más completo en triangulación), renumerarlo como Capítulo VII e incorporar en él las cautelas del Cap. VII del archivo RESULTADOS.</w:t>
      </w:r>
    </w:p>
    <w:p>
      <w:pPr>
        <w:pStyle w:val="ListParagraph"/>
        <w:numPr>
          <w:ilvl w:val="0"/>
          <w:numId w:val="3"/>
        </w:numPr>
        <w:spacing w:after="80" w:line="264"/>
        <w:jc w:val="both"/>
      </w:pPr>
      <w:r>
        <w:rPr>
          <w:rFonts w:ascii="Arial" w:cs="Arial" w:eastAsia="Arial" w:hAnsi="Arial"/>
        </w:rPr>
        <w:t xml:space="preserve">Decidir sobre la duración del control superior (318,6 y 313,3 días): incorporarla al Cap. VI con su tabla (n, media, mediana, intervalo medido y fuente) o suprimirla en todos los documentos.</w:t>
      </w:r>
    </w:p>
    <w:p>
      <w:pPr>
        <w:pStyle w:val="ListParagraph"/>
        <w:numPr>
          <w:ilvl w:val="0"/>
          <w:numId w:val="3"/>
        </w:numPr>
        <w:spacing w:after="80" w:line="264"/>
        <w:jc w:val="both"/>
      </w:pPr>
      <w:r>
        <w:rPr>
          <w:rFonts w:ascii="Arial" w:cs="Arial" w:eastAsia="Arial" w:hAnsi="Arial"/>
        </w:rPr>
        <w:t xml:space="preserve">Verificar en el consolidado de primera instancia el desglose de los 69 expedientes Tradicionales sin concentración acreditada (el texto dice 61, y «dieciocho sin concentración» contradice la Tabla 4).</w:t>
      </w:r>
    </w:p>
    <w:p>
      <w:pPr>
        <w:pStyle w:val="ListParagraph"/>
        <w:numPr>
          <w:ilvl w:val="0"/>
          <w:numId w:val="3"/>
        </w:numPr>
        <w:spacing w:after="80" w:line="264"/>
        <w:jc w:val="both"/>
      </w:pPr>
      <w:r>
        <w:rPr>
          <w:rFonts w:ascii="Arial" w:cs="Arial" w:eastAsia="Arial" w:hAnsi="Arial"/>
        </w:rPr>
        <w:t xml:space="preserve">Explicar en una nota la diferencia entre la Tabla 3 (hito SIJ: 55/58 anuladas) y la Tabla 5 (53/52 anuladas).</w:t>
      </w:r>
    </w:p>
    <w:p>
      <w:pPr>
        <w:pStyle w:val="ListParagraph"/>
        <w:numPr>
          <w:ilvl w:val="0"/>
          <w:numId w:val="3"/>
        </w:numPr>
        <w:spacing w:after="80" w:line="264"/>
        <w:jc w:val="both"/>
      </w:pPr>
      <w:r>
        <w:rPr>
          <w:rFonts w:ascii="Arial" w:cs="Arial" w:eastAsia="Arial" w:hAnsi="Arial"/>
        </w:rPr>
        <w:t xml:space="preserve">Corroborar la STC 00812-2022-PA/TC y la Casación 4088-2019-Arequipa, o retirarlas; y transcribir la hipótesis literal de la matriz de consistencia.</w:t>
      </w:r>
    </w:p>
    <w:p>
      <w:pPr>
        <w:spacing w:after="120" w:line="276"/>
        <w:jc w:val="both"/>
      </w:pPr>
      <w:r>
        <w:rPr>
          <w:rFonts w:ascii="Arial" w:cs="Arial" w:eastAsia="Arial" w:hAnsi="Arial"/>
          <w:b/>
          <w:bCs/>
        </w:rPr>
        <w:t xml:space="preserve">Orden sugerido de corrección: </w:t>
      </w:r>
      <w:r>
        <w:rPr>
          <w:rFonts w:ascii="Arial" w:cs="Arial" w:eastAsia="Arial" w:hAnsi="Arial"/>
        </w:rPr>
        <w:t xml:space="preserve">1) Resultados → 2) Discusión → 3) Aportes → 4) Conclusiones → 5) Recomendaciones. Así, cada documento se corrige contra uno ya estabilizado.</w:t>
      </w:r>
    </w:p>
    <w:p>
      <w:pPr>
        <w:pStyle w:val="Heading1"/>
        <w:spacing w:after="160" w:before="360"/>
      </w:pPr>
      <w:r>
        <w:rPr>
          <w:rFonts w:ascii="Arial" w:cs="Arial" w:eastAsia="Arial" w:hAnsi="Arial"/>
        </w:rPr>
        <w:t xml:space="preserve">B. Cifras de referencia únicas</w:t>
      </w:r>
    </w:p>
    <w:p>
      <w:pPr>
        <w:spacing w:after="120" w:line="276"/>
        <w:jc w:val="both"/>
      </w:pPr>
      <w:r>
        <w:rPr>
          <w:rFonts w:ascii="Arial" w:cs="Arial" w:eastAsia="Arial" w:hAnsi="Arial"/>
        </w:rPr>
        <w:t xml:space="preserve">Estas son las cifras que deben usarse, con las mismas palabras, en todos los documentos. Cada base responde a una pregunta distinta y no debe combinarse con las demás.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38"/>
        <w:gridCol w:w="1700"/>
        <w:gridCol w:w="1700"/>
        <w:gridCol w:w="2200"/>
      </w:tblGrid>
      <w:tr>
        <w:trPr>
          <w:tblHeader/>
        </w:trPr>
        <w:tc>
          <w:tcPr>
            <w:tcW w:type="dxa" w:w="40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Indicador</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Tradicional / 2018</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Oralidad / 2024</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Fuente</w:t>
            </w:r>
          </w:p>
        </w:tc>
      </w:tr>
      <w:tr>
        <w:tc>
          <w:tcPr>
            <w:tcW w:type="dxa" w:w="9638"/>
            <w:gridSpan w:val="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Bases de comparación</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Expedientes con sentencia de 1.ª instancia (muestra documental)</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87</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80</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Cap. VI, Tablas 3 y 4</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Sentencias de vista examinadas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85</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78</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 5</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Sentencias de vista que declaran la nulidad (base de la Tabla 6)</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53</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52</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 6; Excel</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Serie anual de sentencias de segunda instancia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281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328</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Tablas 1 y 2</w:t>
            </w:r>
          </w:p>
        </w:tc>
      </w:tr>
      <w:tr>
        <w:tc>
          <w:tcPr>
            <w:tcW w:type="dxa" w:w="9638"/>
            <w:gridSpan w:val="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Primer objetivo: principios de oralidad (Tabla 4)</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Concentración acreditada (saneamiento, puntos y admisión)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18 (20,7 %)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57 (71,3 %)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Dif. 50,6 p. p.</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Fijación expresa de hechos no controvertidos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0 (0,0 %)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13 (16,3 %)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 4</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Convenciones probatorias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0 (0,0 %)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0 (0,0 %)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1 parcial no computada</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Sentencia expedida en audiencia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1 (1,1 %)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4 (5,0 %)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5 en total</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Lectura oral del sentido del fallo</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1 (1,1 %)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2 (2,5 %)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3 en total</w:t>
            </w:r>
          </w:p>
        </w:tc>
      </w:tr>
      <w:tr>
        <w:tc>
          <w:tcPr>
            <w:tcW w:type="dxa" w:w="9638"/>
            <w:gridSpan w:val="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Estabilidad frente al control superior (series anuales)</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Confirmada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184 (65,5 %)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238 (72,6 %)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Tablas 1 y 2</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Revocada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36 (12,8 %)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24 (7,3 %)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Tablas 1 y 2</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Anulada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61 (21,7 %)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66 (20,1 %)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Tablas 1 y 2</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Censura total (anulada + revocada)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34,5 %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27,4 %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Tablas 1 y 2</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Anulación dentro de los pronunciamientos adversos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62,9 %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73,3 %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Cálculo sobre Tablas 1 y 2</w:t>
            </w:r>
          </w:p>
        </w:tc>
      </w:tr>
      <w:tr>
        <w:tc>
          <w:tcPr>
            <w:tcW w:type="dxa" w:w="9638"/>
            <w:gridSpan w:val="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Control superior en la muestra (Tabla 5; muestra seleccionada por hito adverso)</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Anulada / Revocada / Confirmada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62,4 / 34,1 / 1,2 %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66,7 / 30,8 / 1,3 %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 5</w:t>
            </w:r>
          </w:p>
        </w:tc>
      </w:tr>
      <w:tr>
        <w:tc>
          <w:tcPr>
            <w:tcW w:type="dxa" w:w="9638"/>
            <w:gridSpan w:val="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Segundo objetivo: causales en sentencias anuladas (Tabla 6, n = 53 / 52)</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 Inexistencia o motivación aparente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5 (9,4 %)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5 (9,6 %)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 6</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b) Falta de motivación interna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5 (9,4 %)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4 (7,7 %)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 6</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c) Deficiencia en la motivación externa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3 (5,7 %)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6 (11,5 %)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 6</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d) Motivación insuficiente (D13 ∪ D11)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8 (15,1 %)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15 (28,8 %)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 6; Excel</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   de ello: omisión de valoración de prueba admitida o decisiva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2 (3,8 %)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6 (11,5 %)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 6</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e) Motivación sustancialmente incongruente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17 (32,1 %)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13 (25,0 %)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 6</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g) Motivación defectuosa sin especificación (residual)</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10 (18,9 %)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9 (17,3 %)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Pendiente de recodificar</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D12 Valoración probatoria defectuosa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8 (15,1 %)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10 (19,2 %)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 6</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D03 Litisconsorte necesario omitido</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5 (9,4 %)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2 (3,8 %)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 6</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D01 Notificación o emplazamiento defectuoso</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5 (9,4 %)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3 (5,8 %)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 6</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D19 Omisión de resolver incidencia previa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2 (3,8 %)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6 (11,5 %)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 6</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D22 Nulidad refleja o concatenada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4 (7,5 %)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6 (11,5 %)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 6</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D09 / D10 Prueba de oficio irregular / sin contradictorio</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1 (1,9 %) c/u</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1 (1,9 %) c/u</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 6</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Bloque relación procesal y procedimiento</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20 (37,7 %)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17 (32,7 %)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 6, bloque III</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Bloque actividad probatoria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12 (22,6 %)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13 (25,0 %)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 6, bloque III</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Vicios de motivación a)–e)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30 (56,6 %)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30 (57,7 %)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 6, bloque III</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Vicios de motivación a)–g)</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35 (66,0 %)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35 (67,3 %)</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 6, bloque III</w:t>
            </w:r>
          </w:p>
        </w:tc>
      </w:tr>
      <w:tr>
        <w:tc>
          <w:tcPr>
            <w:tcW w:type="dxa" w:w="9638"/>
            <w:gridSpan w:val="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Dato pendiente</w:t>
            </w:r>
          </w:p>
        </w:tc>
      </w:tr>
      <w:tr>
        <w:trPr>
          <w:cantSplit w:val="off"/>
        </w:trPr>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Duración media del control superior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318,6 días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center"/>
            </w:pPr>
            <w:r>
              <w:rPr>
                <w:rFonts w:ascii="Arial" w:cs="Arial" w:eastAsia="Arial" w:hAnsi="Arial"/>
                <w:b w:val="false"/>
                <w:bCs w:val="false"/>
                <w:sz w:val="18"/>
                <w:szCs w:val="18"/>
              </w:rPr>
              <w:t xml:space="preserve">313,3 días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No figura en el Cap. VI</w:t>
            </w:r>
          </w:p>
        </w:tc>
      </w:tr>
    </w:tbl>
    <w:p>
      <w:pPr>
        <w:spacing w:after="60"/>
      </w:pPr>
      <w:r>
        <w:rPr>
          <w:rFonts w:ascii="Arial" w:cs="Arial" w:eastAsia="Arial" w:hAnsi="Arial"/>
        </w:rPr>
        <w:t xml:space="preserve"/>
      </w:r>
    </w:p>
    <w:p>
      <w:pPr>
        <w:pStyle w:val="Heading2"/>
        <w:spacing w:after="120" w:before="240"/>
      </w:pPr>
      <w:r>
        <w:rPr>
          <w:rFonts w:ascii="Arial" w:cs="Arial" w:eastAsia="Arial" w:hAnsi="Arial"/>
        </w:rPr>
        <w:t xml:space="preserve">Cifras que deben desaparecer o reemplazarse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400"/>
        <w:gridCol w:w="4038"/>
      </w:tblGrid>
      <w:tr>
        <w:trPr>
          <w:tblHeader/>
        </w:trPr>
        <w:tc>
          <w:tcPr>
            <w:tcW w:type="dxa" w:w="3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Cifra en el texto actual</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Dónde aparece</w:t>
            </w:r>
          </w:p>
        </w:tc>
        <w:tc>
          <w:tcPr>
            <w:tcW w:type="dxa" w:w="40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Cifra correcta o acción</w:t>
            </w:r>
          </w:p>
        </w:tc>
      </w:tr>
      <w:tr>
        <w:trPr>
          <w:cantSplit w:val="off"/>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100 expedientes (43/57); 113 sentencias de vista</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Aportes § 1 y § 5</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167 expedientes (87/80); 163 sentencias de vista; 105 anuladas (53/52)</w:t>
            </w:r>
          </w:p>
        </w:tc>
      </w:tr>
      <w:tr>
        <w:trPr>
          <w:cantSplit w:val="off"/>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Concentración 20,9 % → 77,2 % (56,3 p. p.)</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Aportes § 2, 4 y 9; Conclusión 1</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20,7 % → 71,3 % (50,6 p. p.)</w:t>
            </w:r>
          </w:p>
        </w:tc>
      </w:tr>
      <w:tr>
        <w:trPr>
          <w:cantSplit w:val="off"/>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Hechos no controvertidos 2,3 % → 17,5 %</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Aportes § 2; Conclusión 1</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0,0 % → 16,3 %</w:t>
            </w:r>
          </w:p>
        </w:tc>
      </w:tr>
      <w:tr>
        <w:trPr>
          <w:cantSplit w:val="off"/>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Convenciones probatorias 3,5 %</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Aportes § 2</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0,0 % (una parcial, no computada)</w:t>
            </w:r>
          </w:p>
        </w:tc>
      </w:tr>
      <w:tr>
        <w:trPr>
          <w:cantSplit w:val="off"/>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Sentencia en audiencia 19,3 %; «once expedientes»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Aportes § 2 y 8; Conclusión 1</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5,0 % (4 de 80); cinco expedientes en total</w:t>
            </w:r>
          </w:p>
        </w:tc>
      </w:tr>
      <w:tr>
        <w:trPr>
          <w:cantSplit w:val="off"/>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Lectura oral del fallo 7,0 %</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Aportes § 2; Conclusión 1</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2,5 %</w:t>
            </w:r>
          </w:p>
        </w:tc>
      </w:tr>
      <w:tr>
        <w:trPr>
          <w:cantSplit w:val="off"/>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Confirmación 2,9 % → 60,0 %; censura 97,1 % → 40,0 %; «seis de cada diez»</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Aportes § 2, 5 y 9</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Series: 65,5 % → 72,6 %. En la muestra la confirmación es 1,2 % y 1,3 % (no comparable)</w:t>
            </w:r>
          </w:p>
        </w:tc>
      </w:tr>
      <w:tr>
        <w:trPr>
          <w:cantSplit w:val="off"/>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63,1 % → 80,3 %, p = 0,002 (Tabla 13)</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Aportes § 2</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65,5 % → 72,6 %, sin afirmar significancia (ver nota)</w:t>
            </w:r>
          </w:p>
        </w:tc>
      </w:tr>
      <w:tr>
        <w:trPr>
          <w:cantSplit w:val="off"/>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Omisión de valoración 1,8 % → 9,3 % y 2,8 % → 6,5 % (Tabla 9)</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Aportes § 3; Conclusión 2</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3,8 % → 11,5 % (Tabla 6)</w:t>
            </w:r>
          </w:p>
        </w:tc>
      </w:tr>
      <w:tr>
        <w:trPr>
          <w:cantSplit w:val="off"/>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58 anuladas por motivación; externa 19,0 % → 40,5 %; incongruente 42,9 % → 24,3 % (Tabla 14)</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Aportes § 3 y 9; Conclusión 2</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c) 5,7 % → 11,5 %; e) 32,1 % → 25,0 %; d) 15,1 % → 28,8 % (sobre 53/52)</w:t>
            </w:r>
          </w:p>
        </w:tc>
      </w:tr>
      <w:tr>
        <w:trPr>
          <w:cantSplit w:val="off"/>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Anulación 80,6 % → 70,1 % y revocatoria 19,4 % → 29,9 % de los adversos (Tabla 7)</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Aportes § 5</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Es al revés: la anulación pasa del 62,9 % al 73,3 % de los adversos</w:t>
            </w:r>
          </w:p>
        </w:tc>
      </w:tr>
      <w:tr>
        <w:trPr>
          <w:cantSplit w:val="off"/>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Concurrencia de vicios 42,9 % y 43,2 %</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Aportes § 5</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Sin respaldo: suprimir o recalcular e incorporar al Cap. VI</w:t>
            </w:r>
          </w:p>
        </w:tc>
      </w:tr>
      <w:tr>
        <w:trPr>
          <w:cantSplit w:val="off"/>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Reincidencia anulatoria 48,8 % → 19,3 %</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Aportes § 5, 6 y 9; Discusión 5.4</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Sin respaldo: suprimir o recalcular e incorporar al Cap. VI</w:t>
            </w:r>
          </w:p>
        </w:tc>
      </w:tr>
      <w:tr>
        <w:trPr>
          <w:cantSplit w:val="off"/>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Concordancia parcial 76,5 %; total 66,0 %; «trece expedientes»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Discusión 5.4</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Sin respaldo: suprimir o recalcular e incorporar al Cap. VI</w:t>
            </w:r>
          </w:p>
        </w:tc>
      </w:tr>
      <w:tr>
        <w:trPr>
          <w:cantSplit w:val="off"/>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d) motivación insuficiente 13,2 % → 21,2 %</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Discusión, Tabla 6 y 5.5</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15,1 % → 28,8 %</w:t>
            </w:r>
          </w:p>
        </w:tc>
      </w:tr>
      <w:tr>
        <w:trPr>
          <w:cantSplit w:val="off"/>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61 de 87 sin concentración; «dieciocho sin concentración»</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Resultados 2.4; Discusión 5.2.4</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69 de 87 sin concentración acreditada (verificar desglose)</w:t>
            </w:r>
          </w:p>
        </w:tc>
      </w:tr>
      <w:tr>
        <w:trPr>
          <w:cantSplit w:val="off"/>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318,6 y 313,3 días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Discusiones; Aportes; Conclusión 3; Recomendación 3</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Incorporar la tabla al Cap. VI o suprimir</w:t>
            </w:r>
          </w:p>
        </w:tc>
      </w:tr>
      <w:tr>
        <w:trPr>
          <w:cantSplit w:val="off"/>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Tablas 5.1, 7, 9, 10, 13, 14 y 15</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Discusión; Aportes</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Remitir a las Tablas 1–6 y numerar correlativamente las nuevas</w:t>
            </w:r>
          </w:p>
        </w:tc>
      </w:tr>
    </w:tbl>
    <w:p>
      <w:pPr>
        <w:spacing w:after="120" w:before="120"/>
        <w:jc w:val="both"/>
      </w:pPr>
      <w:r>
        <w:rPr>
          <w:rFonts w:ascii="Arial" w:cs="Arial" w:eastAsia="Arial" w:hAnsi="Arial"/>
          <w:b/>
          <w:bCs/>
        </w:rPr>
        <w:t xml:space="preserve">Nota estadística. </w:t>
      </w:r>
      <w:r>
        <w:rPr>
          <w:rFonts w:ascii="Arial" w:cs="Arial" w:eastAsia="Arial" w:hAnsi="Arial"/>
          <w:sz w:val="18"/>
          <w:szCs w:val="18"/>
        </w:rPr>
        <w:t xml:space="preserve">Solo como verificación (no forma parte de la tesis): con las series 281/328, una prueba χ² da p ≈ 0,059 para la confirmación, p ≈ 0,023 para la revocación, p ≈ 0,63 para la anulación y p ≈ 0,052 para la distribución conjunta. No debe mantenerse «estadísticamente significativo (p = 0,002)». Además, el Cap. VII declara que los porcentajes son descriptivos; si se quisiera informar un contraste, solo la reducción de la revocación alcanzaría p &lt; 0,05.</w:t>
      </w:r>
    </w:p>
    <w:p>
      <w:pPr>
        <w:pStyle w:val="Heading1"/>
        <w:spacing w:after="160" w:before="360"/>
      </w:pPr>
      <w:r>
        <w:rPr>
          <w:rFonts w:ascii="Arial" w:cs="Arial" w:eastAsia="Arial" w:hAnsi="Arial"/>
        </w:rPr>
        <w:t xml:space="preserve">C. Conclusiones sugeridas</w:t>
      </w:r>
    </w:p>
    <w:p>
      <w:pPr>
        <w:spacing w:after="120" w:line="276"/>
        <w:jc w:val="both"/>
      </w:pPr>
      <w:r>
        <w:rPr>
          <w:rFonts w:ascii="Arial" w:cs="Arial" w:eastAsia="Arial" w:hAnsi="Arial"/>
          <w:i/>
          <w:iCs/>
          <w:color w:val="595959"/>
        </w:rPr>
        <w:t xml:space="preserve">Texto propuesto para reemplazar la sección II. Mantiene la estructura por objetivos, usa solo cifras del Cap. VI y respeta los límites interpretativos de la Discusión. Las recomendaciones de la Parte D derivan de estas conclusiones.</w:t>
      </w:r>
    </w:p>
    <w:p>
      <w:pPr>
        <w:spacing w:after="120" w:line="276"/>
        <w:jc w:val="both"/>
      </w:pPr>
      <w:r>
        <w:rPr>
          <w:rFonts w:ascii="Arial" w:cs="Arial" w:eastAsia="Arial" w:hAnsi="Arial"/>
          <w:b/>
          <w:bCs/>
        </w:rPr>
        <w:t xml:space="preserve">PRIMERA. </w:t>
      </w:r>
      <w:r>
        <w:rPr>
          <w:rFonts w:ascii="Arial" w:cs="Arial" w:eastAsia="Arial" w:hAnsi="Arial"/>
        </w:rPr>
        <w:t xml:space="preserve">El Modelo de Oralidad Civil implementado en los Juzgados Civiles de la Sede Central de Arequipa hizo operativo el principio de concentración con mayor intensidad que sus demás componentes. El saneamiento procesal, la fijación de puntos controvertidos y la admisión de medios probatorios en un solo acto se acreditaron en el 71,3 % de los expedientes del grupo Oralidad (57 de 80), frente al 20,7 % del grupo Tradicional (18 de 87), una diferencia de 50,6 puntos porcentuales. En cambio, la fijación expresa de hechos no controvertidos solo alcanzó el 16,3 %, la sentencia expedida en audiencia el 5,0 % y la lectura oral del sentido del fallo el 2,5 %, y no se computaron convenciones probatorias en ningún grupo; además, persistieron suspensiones, continuaciones de audiencia e incidentes. Como los principios de concentración e inmediación rigen desde 1993 en el Título Preliminar del Código Procesal Civil, la diferencia no obedece a un cambio del texto legal: es compatible con el protocolo de audiencia y la organización del módulo, sin que el diseño documental permita atribuirla exclusivamente a las resoluciones administrativas que lo regulan.</w:t>
      </w:r>
    </w:p>
    <w:p>
      <w:pPr>
        <w:spacing w:after="120" w:line="276"/>
        <w:jc w:val="both"/>
      </w:pPr>
      <w:r>
        <w:rPr>
          <w:rFonts w:ascii="Arial" w:cs="Arial" w:eastAsia="Arial" w:hAnsi="Arial"/>
          <w:b/>
          <w:bCs/>
        </w:rPr>
        <w:t xml:space="preserve">SEGUNDA. </w:t>
      </w:r>
      <w:r>
        <w:rPr>
          <w:rFonts w:ascii="Arial" w:cs="Arial" w:eastAsia="Arial" w:hAnsi="Arial"/>
        </w:rPr>
        <w:t xml:space="preserve">Las sentencias expedidas bajo el modelo no presentan una reducción de conjunto de los vicios de motivación, sino un cambio en su composición. En las sentencias de vista que declararon la nulidad (53 del grupo Tradicional y 52 del grupo Oralidad), los vicios de la tipología Llamoja concurren en proporciones semejantes (56,6 % y 57,7 %). La motivación sustancialmente incongruente descendió del 32,1 % al 25,0 %, mientras que la motivación insuficiente ascendió del 15,1 % al 28,8 % —dentro de ella, la omisión de valoración de prueba admitida o decisiva pasó del 3,8 % al 11,5 %— y la deficiencia en la motivación externa, del 5,7 % al 11,5 %; la motivación aparente se mantuvo estable (9,4 % y 9,6 %). Entre los vicios de procedimiento disminuyeron la omisión del litisconsorte necesario (del 9,4 % al 3,8 %) y el emplazamiento defectuoso (del 9,4 % al 5,8 %), pero aumentaron la omisión de resolver una incidencia previa (del 3,8 % al 11,5 %) y la nulidad concatenada (del 7,5 % al 11,5 %).</w:t>
      </w:r>
    </w:p>
    <w:p>
      <w:pPr>
        <w:spacing w:after="120" w:line="276"/>
        <w:jc w:val="both"/>
      </w:pPr>
      <w:r>
        <w:rPr>
          <w:rFonts w:ascii="Arial" w:cs="Arial" w:eastAsia="Arial" w:hAnsi="Arial"/>
          <w:b/>
          <w:bCs/>
        </w:rPr>
        <w:t xml:space="preserve">TERCERA. </w:t>
      </w:r>
      <w:r>
        <w:rPr>
          <w:rFonts w:ascii="Arial" w:cs="Arial" w:eastAsia="Arial" w:hAnsi="Arial"/>
        </w:rPr>
        <w:t xml:space="preserve">Las sentencias resisten en mayor proporción el control de segunda instancia, aunque sin una disminución de las nulidades. En las series anuales, la confirmación ascendió del 65,5 % (184 de 281) en 2018 al 72,6 % (238 de 328) en 2024 y la revocación descendió del 12,8 % al 7,3 %, mientras que la anulación se mantuvo prácticamente estable (21,7 % y 20,1 %); en consecuencia, la censura total —anulación más revocación— bajó del 34,5 % al 27,4 % por efecto de la menor revocación. Estas proporciones tienen alcance descriptivo y corresponden a una base distinta de la muestra documental. Los resultados no acreditan una reducción de la duración total de los procesos.</w:t>
      </w:r>
    </w:p>
    <w:p>
      <w:pPr>
        <w:spacing w:after="120" w:line="276"/>
        <w:jc w:val="both"/>
      </w:pPr>
      <w:r>
        <w:rPr>
          <w:rFonts w:ascii="Arial" w:cs="Arial" w:eastAsia="Arial" w:hAnsi="Arial"/>
          <w:b/>
          <w:bCs/>
        </w:rPr>
        <w:t xml:space="preserve">CUARTA. </w:t>
      </w:r>
      <w:r>
        <w:rPr>
          <w:rFonts w:ascii="Arial" w:cs="Arial" w:eastAsia="Arial" w:hAnsi="Arial"/>
        </w:rPr>
        <w:t xml:space="preserve">En consecuencia, la efectividad del Modelo de Oralidad Civil en las sentencias de los Juzgados Civiles de la Sede Central de Arequipa es positiva, parcial y diferenciada, por lo que la hipótesis se considera parcialmente comprobada. Se verifica en la dimensión organizativa (concentración) y, en menor medida, en la estabilidad de las sentencias frente a la revisión superior, pero no en la dimensión decisoria (emisión oral del fallo) ni en la calidad de la motivación de las sentencias anuladas. El margen de mejora pendiente se ubica en el registro de la audiencia, en la trazabilidad de la prueba admitida hasta su valoración y en la suficiencia de la motivación, antes que en una modificación del texto legal.</w:t>
      </w:r>
    </w:p>
    <w:p>
      <w:pPr>
        <w:spacing w:after="120" w:line="276"/>
        <w:jc w:val="both"/>
      </w:pPr>
      <w:r>
        <w:rPr>
          <w:rFonts w:ascii="Arial" w:cs="Arial" w:eastAsia="Arial" w:hAnsi="Arial"/>
          <w:i/>
          <w:iCs/>
          <w:color w:val="595959"/>
          <w:sz w:val="18"/>
          <w:szCs w:val="18"/>
        </w:rPr>
        <w:t xml:space="preserve">Si se incorpora al Cap. VI la tabla de duración, puede añadirse al final de la Tercera: «La duración media del control superior muestra una diferencia reducida entre períodos (318,6 y 313,3 días), que debe analizarse por tramos antes de atribuirla a la segunda instancia».</w:t>
      </w:r>
    </w:p>
    <w:p>
      <w:pPr>
        <w:pStyle w:val="Heading1"/>
        <w:spacing w:after="160" w:before="360"/>
      </w:pPr>
      <w:r>
        <w:rPr>
          <w:rFonts w:ascii="Arial" w:cs="Arial" w:eastAsia="Arial" w:hAnsi="Arial"/>
        </w:rPr>
        <w:t xml:space="preserve">D. Propuesta de recomendaciones</w:t>
      </w:r>
    </w:p>
    <w:p>
      <w:pPr>
        <w:spacing w:after="120" w:line="276"/>
        <w:jc w:val="both"/>
      </w:pPr>
      <w:r>
        <w:rPr>
          <w:rFonts w:ascii="Arial" w:cs="Arial" w:eastAsia="Arial" w:hAnsi="Arial"/>
          <w:i/>
          <w:iCs/>
          <w:color w:val="595959"/>
        </w:rPr>
        <w:t xml:space="preserve">Texto propuesto para reemplazar la sección III. Cada recomendación deriva de una conclusión, se dirige a un órgano con competencia para ejecutarla y fija un indicador cuya línea base sale del Cap. VI. Se conserva el estilo de redacción del documento original («Se recomienda a… La finalidad es… El indicador será…»).</w:t>
      </w:r>
    </w:p>
    <w:p>
      <w:pPr>
        <w:keepNext/>
        <w:spacing w:after="80" w:before="200"/>
      </w:pPr>
      <w:r>
        <w:rPr>
          <w:rFonts w:ascii="Arial" w:cs="Arial" w:eastAsia="Arial" w:hAnsi="Arial"/>
          <w:b/>
          <w:bCs/>
          <w:color w:val="1F3864"/>
        </w:rPr>
        <w:t xml:space="preserve">PRIMERA. Protocolo estandarizado de acta de audiencia</w:t>
      </w:r>
    </w:p>
    <w:p>
      <w:pPr>
        <w:spacing w:after="120" w:line="276"/>
        <w:jc w:val="both"/>
      </w:pPr>
      <w:r>
        <w:rPr>
          <w:rFonts w:ascii="Arial" w:cs="Arial" w:eastAsia="Arial" w:hAnsi="Arial"/>
        </w:rPr>
        <w:t xml:space="preserve">Se recomienda a la Presidencia de la Corte Superior de Justicia de Arequipa y a la Coordinación del Módulo Civil Corporativo de Litigación Oral de la Sede Central aprobar, mediante directiva, un formato estandarizado de acta de audiencia preliminar o única, incorporado al sistema informático, con apartados obligatorios para: a) el saneamiento procesal; b) la fijación de los puntos controvertidos; c) los hechos no controvertidos o admitidos, con constancia expresa de su inexistencia cuando no los haya; d) las convenciones probatorias propuestas, aceptadas o rechazadas; y e) la admisión o el rechazo individualizado de cada medio probatorio, con expresión de la razón del rechazo. La directiva se complementará con talleres conjuntos para jueces y abogados, en coordinación con el Colegio de Abogados de Arequipa, sobre la fijación de hechos no controvertidos y el uso de convenciones probatorias. La finalidad es extender a los demás componentes del modelo la eficacia alcanzada en la concentración y hacer verificable la delimitación del objeto de prueba, pues hoy la sola ausencia de mención no permite distinguir entre hechos admitidos no consignados y controversias sin hechos admitidos. Los indicadores serán el porcentaje semestral de actas con los cinco apartados completos (meta: 100 %), el de expedientes con hechos no controvertidos fijados (línea base: 16,3 %) y el de expedientes con convenciones probatorias registradas (línea base: 0,0 %).</w:t>
      </w:r>
    </w:p>
    <w:p>
      <w:pPr>
        <w:keepNext/>
        <w:spacing w:after="80" w:before="200"/>
      </w:pPr>
      <w:r>
        <w:rPr>
          <w:rFonts w:ascii="Arial" w:cs="Arial" w:eastAsia="Arial" w:hAnsi="Arial"/>
          <w:b/>
          <w:bCs/>
          <w:color w:val="1F3864"/>
        </w:rPr>
        <w:t xml:space="preserve">SEGUNDA. Lista de verificación previa a la sentencia y capacitación en motivación</w:t>
      </w:r>
    </w:p>
    <w:p>
      <w:pPr>
        <w:spacing w:after="120" w:line="276"/>
        <w:jc w:val="both"/>
      </w:pPr>
      <w:r>
        <w:rPr>
          <w:rFonts w:ascii="Arial" w:cs="Arial" w:eastAsia="Arial" w:hAnsi="Arial"/>
        </w:rPr>
        <w:t xml:space="preserve">Se recomienda a la Presidencia de la Corte Superior de Justicia de Arequipa promover entre los jueces de los Juzgados Civiles de la Sede Central el uso de una lista de verificación previa a la emisión de la sentencia que compruebe: a) que no existan incidencias o articulaciones pendientes de resolver; b) la correcta integración de la relación procesal, incluido el emplazamiento válido de todas las partes y de los litisconsortes necesarios; c) la correspondencia entre cada punto controvertido, los medios probatorios admitidos, su actuación y su valoración expresa en la sentencia (matriz de trazabilidad probatoria); y d) el pronunciamiento sobre cada pretensión y punto controvertido. Asimismo, se recomienda a la Academia de la Magistratura y a la Corte Superior desarrollar talleres sobre motivación suficiente y valoración conjunta y razonada de la prueba (artículos 188 y 197 del Código Procesal Civil), con base en la tipología de la STC 00728-2008-PHC/TC y en sentencias anuladas por las Salas Civiles de Arequipa. La finalidad es prevenir las causales que aumentaron o persisten en las sentencias anuladas del período Oralidad: motivación insuficiente (28,8 %), motivación sustancialmente incongruente (25,0 %), omisión de valoración de prueba admitida o decisiva (11,5 %), omisión de resolver incidencia previa (11,5 %) y nulidad concatenada (11,5 %). El indicador será la frecuencia anual de esas causales en las sentencias de vista que declaran la nulidad, con meta de reducción progresiva respecto de dichas líneas base.</w:t>
      </w:r>
    </w:p>
    <w:p>
      <w:pPr>
        <w:keepNext/>
        <w:spacing w:after="80" w:before="200"/>
      </w:pPr>
      <w:r>
        <w:rPr>
          <w:rFonts w:ascii="Arial" w:cs="Arial" w:eastAsia="Arial" w:hAnsi="Arial"/>
          <w:b/>
          <w:bCs/>
          <w:color w:val="1F3864"/>
        </w:rPr>
        <w:t xml:space="preserve">TERCERA. Registro codificado de causales y retroalimentación desde la segunda instancia</w:t>
      </w:r>
    </w:p>
    <w:p>
      <w:pPr>
        <w:spacing w:after="120" w:line="276"/>
        <w:jc w:val="both"/>
      </w:pPr>
      <w:r>
        <w:rPr>
          <w:rFonts w:ascii="Arial" w:cs="Arial" w:eastAsia="Arial" w:hAnsi="Arial"/>
        </w:rPr>
        <w:t xml:space="preserve">Se recomienda a la Presidencia de la Corte Superior de Justicia de Arequipa, con participación de las Salas Civiles, implementar un registro codificado de las causales por las que se anulan o revocan las sentencias de los Juzgados Civiles —con el catálogo de causales de la ficha (D01 a D23) y los supuestos a) a f) de la STC 00728-2008-PHC/TC— y remitir a cada juzgado un reporte semestral de retroalimentación con sus causales recurrentes. La finalidad es actuar sobre la anulación, que se mantuvo prácticamente estable (21,7 % en 2018 y 20,1 % en 2024) pese al aumento de la confirmación, y convertir el control superior en información de gestión para la primera instancia. Los indicadores serán la tasa anual de anulación (línea base 2024: 20,1 %) y la de confirmación (línea base 2024: 72,6 %) de las sentencias apeladas.</w:t>
      </w:r>
    </w:p>
    <w:p>
      <w:pPr>
        <w:keepNext/>
        <w:spacing w:after="80" w:before="200"/>
      </w:pPr>
      <w:r>
        <w:rPr>
          <w:rFonts w:ascii="Arial" w:cs="Arial" w:eastAsia="Arial" w:hAnsi="Arial"/>
          <w:b/>
          <w:bCs/>
          <w:color w:val="1F3864"/>
        </w:rPr>
        <w:t xml:space="preserve">CUARTA. Medición de la duración de los procesos por tramos</w:t>
      </w:r>
    </w:p>
    <w:p>
      <w:pPr>
        <w:spacing w:after="120" w:line="276"/>
        <w:jc w:val="both"/>
      </w:pPr>
      <w:r>
        <w:rPr>
          <w:rFonts w:ascii="Arial" w:cs="Arial" w:eastAsia="Arial" w:hAnsi="Arial"/>
        </w:rPr>
        <w:t xml:space="preserve">Se recomienda a la Presidencia de la Corte Superior de Justicia de Arequipa, a través de su Unidad de Planeamiento y Desarrollo, incorporar al seguimiento del Módulo Civil Corporativo de Litigación Oral la medición de la duración de los procesos civiles por tramos: de la admisión de la demanda a la audiencia preliminar o única; de la audiencia a la sentencia; de la concesión de la apelación a la notificación de la sentencia de vista; y de los reenvíos por nulidad. La finalidad es verificar si el modelo reduce la duración total de los procesos y establecer, con datos desagregados, si la segunda instancia o los reenvíos constituyen el tramo que requiere intervención, antes de proponer la adecuación del trámite de apelación a la estructura oral de la instancia. El indicador será la duración media y mediana de cada tramo, con reporte semestral.</w:t>
      </w:r>
    </w:p>
    <w:p>
      <w:pPr>
        <w:keepNext/>
        <w:spacing w:after="80" w:before="200"/>
      </w:pPr>
      <w:r>
        <w:rPr>
          <w:rFonts w:ascii="Arial" w:cs="Arial" w:eastAsia="Arial" w:hAnsi="Arial"/>
          <w:b/>
          <w:bCs/>
          <w:color w:val="1F3864"/>
        </w:rPr>
        <w:t xml:space="preserve">QUINTA. Plan piloto de sentencia en audiencia</w:t>
      </w:r>
    </w:p>
    <w:p>
      <w:pPr>
        <w:spacing w:after="120" w:line="276"/>
        <w:jc w:val="both"/>
      </w:pPr>
      <w:r>
        <w:rPr>
          <w:rFonts w:ascii="Arial" w:cs="Arial" w:eastAsia="Arial" w:hAnsi="Arial"/>
        </w:rPr>
        <w:t xml:space="preserve">Se recomienda a la Coordinación del Módulo Civil Corporativo de Litigación Oral promover, mediante un plan piloto en procesos sumarísimos y abreviados de menor complejidad probatoria, la expedición de la sentencia o la lectura del sentido del fallo en la propia audiencia, con registro audiovisual íntegro y seguimiento impugnatorio de cada caso. La finalidad es desarrollar la dimensión decisoria del modelo, hoy excepcional (5,0 % de sentencias en audiencia y 2,5 % de lecturas del fallo en el grupo Oralidad), y evaluar con una base suficiente si esa modalidad preserva la calidad de la motivación, lo que los cinco casos observados no permiten concluir. Los indicadores serán el porcentaje de sentencias expedidas en audiencia y la proporción de ellas que resultan confirmadas, revocadas o anuladas.</w:t>
      </w:r>
    </w:p>
    <w:p>
      <w:pPr>
        <w:keepNext/>
        <w:spacing w:after="80" w:before="200"/>
      </w:pPr>
      <w:r>
        <w:rPr>
          <w:rFonts w:ascii="Arial" w:cs="Arial" w:eastAsia="Arial" w:hAnsi="Arial"/>
          <w:b/>
          <w:bCs/>
          <w:color w:val="1F3864"/>
        </w:rPr>
        <w:t xml:space="preserve">SEXTA. Evaluación de la suficiencia normativa antes de una reforma legal</w:t>
      </w:r>
    </w:p>
    <w:p>
      <w:pPr>
        <w:spacing w:after="120" w:line="276"/>
        <w:jc w:val="both"/>
      </w:pPr>
      <w:r>
        <w:rPr>
          <w:rFonts w:ascii="Arial" w:cs="Arial" w:eastAsia="Arial" w:hAnsi="Arial"/>
        </w:rPr>
        <w:t xml:space="preserve">Se recomienda al Consejo Ejecutivo del Poder Judicial que, con base en los resultados de los indicadores anteriores, evalúe si la regulación administrativa del Módulo Civil Corporativo de Litigación Oral (R. A. N.º 312-2018-CE-PJ y R. A. N.º 049-2020-CE-PJ) resulta suficiente o si alguna de sus reglas —en particular, la secuencia concentrada de la audiencia preliminar y el registro individualizado de la admisión probatoria— requiere rango legal para ser exigible por las partes. La finalidad es que una eventual iniciativa legislativa de incorporación al Código Procesal Civil parta de una insuficiencia normativa comprobada y no solo de la baja frecuencia de un registro. El indicador será la emisión de un informe técnico de evaluación normativa.</w:t>
      </w:r>
    </w:p>
    <w:p>
      <w:pPr>
        <w:keepNext/>
        <w:spacing w:after="80" w:before="200"/>
      </w:pPr>
      <w:r>
        <w:rPr>
          <w:rFonts w:ascii="Arial" w:cs="Arial" w:eastAsia="Arial" w:hAnsi="Arial"/>
          <w:b/>
          <w:bCs/>
          <w:color w:val="1F3864"/>
        </w:rPr>
        <w:t xml:space="preserve">SÉPTIMA. Líneas para futuras investigaciones</w:t>
      </w:r>
    </w:p>
    <w:p>
      <w:pPr>
        <w:spacing w:after="120" w:line="276"/>
        <w:jc w:val="both"/>
      </w:pPr>
      <w:r>
        <w:rPr>
          <w:rFonts w:ascii="Arial" w:cs="Arial" w:eastAsia="Arial" w:hAnsi="Arial"/>
        </w:rPr>
        <w:t xml:space="preserve">Se recomienda a los investigadores que continúen esta línea de estudio: a) recodificar en los supuestos a) a e) de la tipología Llamoja las diecinueve resoluciones que permanecen en la categoría residual; b) incorporar a la ficha un indicador expreso de concordancia entre lo saneado, lo actuado y lo valorado; c) comparar grupos equivalentes por vía procesal o ajustar los resultados por esa variable; d) reconstruir la cronología completa de cada expediente, incluidos los reenvíos; y e) complementar el análisis documental con entrevistas a jueces, abogados y servidores judiciales, de modo que la triangulación metodológica sea completa.</w:t>
      </w:r>
    </w:p>
    <w:p>
      <w:pPr>
        <w:spacing w:after="120" w:line="276"/>
        <w:jc w:val="both"/>
      </w:pPr>
      <w:r>
        <w:rPr>
          <w:rFonts w:ascii="Arial" w:cs="Arial" w:eastAsia="Arial" w:hAnsi="Arial"/>
          <w:i/>
          <w:iCs/>
          <w:color w:val="595959"/>
          <w:sz w:val="18"/>
          <w:szCs w:val="18"/>
        </w:rPr>
        <w:t xml:space="preserve">Si el reglamento exige menos recomendaciones, pueden fusionarse la Quinta con la Primera y trasladarse la Séptima al apartado de limitaciones.</w:t>
      </w:r>
    </w:p>
    <w:p>
      <w:pPr>
        <w:pStyle w:val="Heading2"/>
        <w:spacing w:after="120" w:before="240"/>
      </w:pPr>
      <w:r>
        <w:rPr>
          <w:rFonts w:ascii="Arial" w:cs="Arial" w:eastAsia="Arial" w:hAnsi="Arial"/>
        </w:rPr>
        <w:t xml:space="preserve">Correspondencia entre recomendaciones, conclusiones y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300"/>
        <w:gridCol w:w="3138"/>
        <w:gridCol w:w="2800"/>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Recomendación y destinatario</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Deriva de</w:t>
            </w:r>
          </w:p>
        </w:tc>
        <w:tc>
          <w:tcPr>
            <w:tcW w:type="dxa" w:w="31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Dato que la sustenta (Cap. VI)</w:t>
            </w:r>
          </w:p>
        </w:tc>
        <w:tc>
          <w:tcPr>
            <w:tcW w:type="dxa" w:w="2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8"/>
                <w:szCs w:val="18"/>
              </w:rPr>
              <w:t xml:space="preserve">Indicador y línea base</w:t>
            </w:r>
          </w:p>
        </w:tc>
      </w:tr>
      <w:tr>
        <w:trPr>
          <w:cantSplit w:val="off"/>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1. Protocolo de acta — Presidencia CSJA, Coordinación del Módulo, Colegio de Abogados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Conclusión 1</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Concentración 71,3 %; hechos no controvertidos 16,3 %; convenciones 0,0 %</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Actas completas (meta 100 %); hechos no controvertidos (16,3 %); convenciones (0,0 %)</w:t>
            </w:r>
          </w:p>
        </w:tc>
      </w:tr>
      <w:tr>
        <w:trPr>
          <w:cantSplit w:val="off"/>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2. Lista de verificación y capacitación — Presidencia CSJA, jueces civiles, AMAG</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Conclusión 2</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d) 28,8 %; e) 25,0 %; omisión de valoración 11,5 %; D19 11,5 %; D22 11,5 %</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Frecuencia anual de esas causales en sentencias de vista de nulidad</w:t>
            </w:r>
          </w:p>
        </w:tc>
      </w:tr>
      <w:tr>
        <w:trPr>
          <w:cantSplit w:val="off"/>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3. Registro de causales y retroalimentación — Presidencia CSJA, Salas Civiles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Conclusión 3</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Anulación estable (21,7 % y 20,1 %); confirmación 72,6 %</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Tasa de anulación (20,1 %) y de confirmación (72,6 %)</w:t>
            </w:r>
          </w:p>
        </w:tc>
      </w:tr>
      <w:tr>
        <w:trPr>
          <w:cantSplit w:val="off"/>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4. Medición por tramos — Presidencia CSJA, Unidad de Planeamiento y Desarrollo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Conclusión 3</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Reducción de la duración no acreditada; tramos no desagregados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Duración media y mediana por tramo (semestral)</w:t>
            </w:r>
          </w:p>
        </w:tc>
      </w:tr>
      <w:tr>
        <w:trPr>
          <w:cantSplit w:val="off"/>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5. Piloto de sentencia en audiencia — Coordinación del Módulo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Conclusiones 1 y 4</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Sentencia en audiencia 5,0 %; lectura del fallo 2,5 %; 5 casos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 de sentencias en audiencia y su resultado en alzada</w:t>
            </w:r>
          </w:p>
        </w:tc>
      </w:tr>
      <w:tr>
        <w:trPr>
          <w:cantSplit w:val="off"/>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6. Evaluación normativa — Consejo Ejecutivo del Poder Judicial</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Conclusión 4</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No se acreditó un vacío legislativo (Cap. VII, 2.5)</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Informe técnico de evaluación</w:t>
            </w:r>
          </w:p>
        </w:tc>
      </w:tr>
      <w:tr>
        <w:trPr>
          <w:cantSplit w:val="off"/>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7. Futuras investigaciones — investigadores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Limitaciones</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19 resoluciones residuales g); grupos no equivalentes por vía; sin triangulación metodológica</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8"/>
                <w:szCs w:val="18"/>
              </w:rPr>
              <w:t xml:space="preserve">—</w:t>
            </w:r>
          </w:p>
        </w:tc>
      </w:tr>
    </w:tbl>
    <w:p>
      <w:pPr>
        <w:spacing w:after="60"/>
      </w:pPr>
      <w:r>
        <w:rPr>
          <w:rFonts w:ascii="Arial" w:cs="Arial" w:eastAsia="Arial" w:hAnsi="Arial"/>
        </w:rPr>
        <w:t xml:space="preserve"/>
      </w:r>
    </w:p>
    <w:p>
      <w:pPr>
        <w:pStyle w:val="Heading2"/>
        <w:spacing w:after="120" w:before="240"/>
      </w:pPr>
      <w:r>
        <w:rPr>
          <w:rFonts w:ascii="Arial" w:cs="Arial" w:eastAsia="Arial" w:hAnsi="Arial"/>
        </w:rPr>
        <w:t xml:space="preserve">Qué cambia respecto de las recomendaciones actuales</w:t>
      </w:r>
    </w:p>
    <w:p>
      <w:pPr>
        <w:pStyle w:val="ListParagraph"/>
        <w:numPr>
          <w:ilvl w:val="0"/>
          <w:numId w:val="2"/>
        </w:numPr>
        <w:spacing w:after="80" w:line="264"/>
        <w:jc w:val="both"/>
      </w:pPr>
      <w:r>
        <w:rPr>
          <w:rFonts w:ascii="Arial" w:cs="Arial" w:eastAsia="Arial" w:hAnsi="Arial"/>
          <w:b/>
          <w:bCs/>
        </w:rPr>
        <w:t xml:space="preserve">Recomendación 1 actual (incorporar el modelo al CPC): </w:t>
      </w:r>
      <w:r>
        <w:rPr>
          <w:rFonts w:ascii="Arial" w:cs="Arial" w:eastAsia="Arial" w:hAnsi="Arial"/>
        </w:rPr>
        <w:t xml:space="preserve">pasa a la Sexta, como evaluación previa y condicionada, porque la Discusión afirma que los datos «no demuestran un vacío legislativo».</w:t>
      </w:r>
    </w:p>
    <w:p>
      <w:pPr>
        <w:pStyle w:val="ListParagraph"/>
        <w:numPr>
          <w:ilvl w:val="0"/>
          <w:numId w:val="2"/>
        </w:numPr>
        <w:spacing w:after="80" w:line="264"/>
        <w:jc w:val="both"/>
      </w:pPr>
      <w:r>
        <w:rPr>
          <w:rFonts w:ascii="Arial" w:cs="Arial" w:eastAsia="Arial" w:hAnsi="Arial"/>
          <w:b/>
          <w:bCs/>
        </w:rPr>
        <w:t xml:space="preserve">Recomendación 2 actual (protocolo de acta): </w:t>
      </w:r>
      <w:r>
        <w:rPr>
          <w:rFonts w:ascii="Arial" w:cs="Arial" w:eastAsia="Arial" w:hAnsi="Arial"/>
        </w:rPr>
        <w:t xml:space="preserve">se conserva como Primera, con líneas base y sin atribuir la baja frecuencia solo a los abogados.</w:t>
      </w:r>
    </w:p>
    <w:p>
      <w:pPr>
        <w:pStyle w:val="ListParagraph"/>
        <w:numPr>
          <w:ilvl w:val="0"/>
          <w:numId w:val="2"/>
        </w:numPr>
        <w:spacing w:after="80" w:line="264"/>
        <w:jc w:val="both"/>
      </w:pPr>
      <w:r>
        <w:rPr>
          <w:rFonts w:ascii="Arial" w:cs="Arial" w:eastAsia="Arial" w:hAnsi="Arial"/>
          <w:b/>
          <w:bCs/>
        </w:rPr>
        <w:t xml:space="preserve">Recomendación 3 actual (reforma de la apelación como «cuello de botella»): </w:t>
      </w:r>
      <w:r>
        <w:rPr>
          <w:rFonts w:ascii="Arial" w:cs="Arial" w:eastAsia="Arial" w:hAnsi="Arial"/>
        </w:rPr>
        <w:t xml:space="preserve">se sustituye por la Cuarta (medición por tramos), porque la Discusión dice que la duración agregada no permite identificar la alzada como principal origen de la demora.</w:t>
      </w:r>
    </w:p>
    <w:p>
      <w:pPr>
        <w:pStyle w:val="ListParagraph"/>
        <w:numPr>
          <w:ilvl w:val="0"/>
          <w:numId w:val="2"/>
        </w:numPr>
        <w:spacing w:after="80" w:line="264"/>
        <w:jc w:val="both"/>
      </w:pPr>
      <w:r>
        <w:rPr>
          <w:rFonts w:ascii="Arial" w:cs="Arial" w:eastAsia="Arial" w:hAnsi="Arial"/>
          <w:b/>
          <w:bCs/>
        </w:rPr>
        <w:t xml:space="preserve">Nuevas: </w:t>
      </w:r>
      <w:r>
        <w:rPr>
          <w:rFonts w:ascii="Arial" w:cs="Arial" w:eastAsia="Arial" w:hAnsi="Arial"/>
        </w:rPr>
        <w:t xml:space="preserve">la Segunda (cubre el hallazgo principal del segundo objetivo: más motivación insuficiente y más omisión de valoración), la Tercera (la anulación no bajó), la Quinta (dimensión decisoria) y la Séptima (limitaciones declaradas en la matriz de Denzin).</w:t>
      </w:r>
    </w:p>
    <w:p>
      <w:pPr>
        <w:sectPr>
          <w:footerReference w:type="default" r:id="rId6"/>
          <w:pgSz w:w="11906" w:h="16838" w:orient="portrait"/>
          <w:pgMar w:top="1134" w:right="1134" w:bottom="1134" w:left="1134" w:header="708" w:footer="708" w:gutter="0"/>
          <w:pgNumType/>
          <w:docGrid w:linePitch="360"/>
        </w:sectPr>
      </w:pPr>
    </w:p>
    <w:p>
      <w:pPr>
        <w:pStyle w:val="Heading1"/>
        <w:spacing w:after="160" w:before="360"/>
      </w:pPr>
      <w:r>
        <w:rPr>
          <w:rFonts w:ascii="Arial" w:cs="Arial" w:eastAsia="Arial" w:hAnsi="Arial"/>
        </w:rPr>
        <w:t xml:space="preserve">E. Anexo: matriz de cambios (83 marcas)</w:t>
      </w:r>
    </w:p>
    <w:p>
      <w:pPr>
        <w:spacing w:after="120" w:line="276"/>
      </w:pPr>
      <w:r>
        <w:rPr>
          <w:rFonts w:ascii="Arial" w:cs="Arial" w:eastAsia="Arial" w:hAnsi="Arial"/>
          <w:color w:val="595959"/>
          <w:sz w:val="18"/>
          <w:szCs w:val="18"/>
        </w:rPr>
        <w:t xml:space="preserve">Cada fila corresponde a un comentario del documento marcado con el mismo código. «Contradice a» indica el documento o apartado con el que hay que alinearse.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850"/>
        <w:gridCol w:w="1300"/>
        <w:gridCol w:w="3750"/>
        <w:gridCol w:w="2560"/>
        <w:gridCol w:w="4350"/>
      </w:tblGrid>
      <w:tr>
        <w:trPr>
          <w:tblHeader/>
        </w:trPr>
        <w:tc>
          <w:tcPr>
            <w:tcW w:type="dxa" w:w="76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5"/>
                <w:szCs w:val="15"/>
              </w:rPr>
              <w:t xml:space="preserve">N.º</w:t>
            </w:r>
          </w:p>
        </w:tc>
        <w:tc>
          <w:tcPr>
            <w:tcW w:type="dxa" w:w="185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5"/>
                <w:szCs w:val="15"/>
              </w:rPr>
              <w:t xml:space="preserve">Ubicación</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5"/>
                <w:szCs w:val="15"/>
              </w:rPr>
              <w:t xml:space="preserve">Tipo</w:t>
            </w:r>
          </w:p>
        </w:tc>
        <w:tc>
          <w:tcPr>
            <w:tcW w:type="dxa" w:w="375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5"/>
                <w:szCs w:val="15"/>
              </w:rPr>
              <w:t xml:space="preserve">Problema</w:t>
            </w:r>
          </w:p>
        </w:tc>
        <w:tc>
          <w:tcPr>
            <w:tcW w:type="dxa" w:w="256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5"/>
                <w:szCs w:val="15"/>
              </w:rPr>
              <w:t xml:space="preserve">Contradice a</w:t>
            </w:r>
          </w:p>
        </w:tc>
        <w:tc>
          <w:tcPr>
            <w:tcW w:type="dxa" w:w="435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line="240"/>
              <w:jc w:val="left"/>
            </w:pPr>
            <w:r>
              <w:rPr>
                <w:rFonts w:ascii="Arial" w:cs="Arial" w:eastAsia="Arial" w:hAnsi="Arial"/>
                <w:b/>
                <w:bCs/>
                <w:sz w:val="15"/>
                <w:szCs w:val="15"/>
              </w:rPr>
              <w:t xml:space="preserve">Cambiar por</w:t>
            </w:r>
          </w:p>
        </w:tc>
      </w:tr>
      <w:tr>
        <w:tc>
          <w:tcPr>
            <w:tcW w:type="dxa" w:w="14570"/>
            <w:gridSpan w:val="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line="240"/>
              <w:jc w:val="left"/>
            </w:pPr>
            <w:r>
              <w:rPr>
                <w:rFonts w:ascii="Arial" w:cs="Arial" w:eastAsia="Arial" w:hAnsi="Arial"/>
                <w:b/>
                <w:bCs/>
                <w:sz w:val="15"/>
                <w:szCs w:val="15"/>
              </w:rPr>
              <w:t xml:space="preserve">RESULTADOS (Cap. VI y VII) — archivo MARCADO_RESULTADOS_Juan_Mesabel_Quispe_Leon.docx</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R-01</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 párrafo introductorio</w:t>
            </w:r>
          </w:p>
        </w:tc>
        <w:tc>
          <w:tcPr>
            <w:tcW w:type="dxa" w:w="1300"/>
            <w:tcBorders>
              <w:top w:val="single" w:color="BFBFBF" w:sz="4"/>
              <w:left w:val="single" w:color="BFBFBF" w:sz="4"/>
              <w:bottom w:val="single" w:color="BFBFBF" w:sz="4"/>
              <w:right w:val="single" w:color="BFBFBF" w:sz="4"/>
            </w:tcBorders>
            <w:shd w:fill="C4F0F0"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Forma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El capítulo de Resultados anuncia que en él se desarrolla la discusión, y el párrafo siguiente empieza «La discusión que a continuación se desarrolla…». Pero la discusión está en otro capítulo (Cap. VII en este archivo; Cap. V en el archivo DISCUSIÓN).</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de este archivo y archivo DISCUSIÓN (5.1).</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«…corresponde en este capítulo exponer los resultados obtenidos mediante la aplicación de la ficha de análisis documental; su discusión se desarrolla en el capítulo siguiente.» En el párrafo siguiente: «La exposición que a continuación se desarrolla no plantea un juicio global…».</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R-02</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3, bloque «Hito en segunda instancia según el SIJ»</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Tabla 3 registra 55/58 anuladas y 32/22 revocadas (sin confirmadas) sobre 87/80. La Tabla 5 registra 53/52 anuladas, 29/24 revocadas y 1/1 confirmadas sobre 85/78. Así, para el grupo Oralidad aparecen dos cifras de anulación distintas (58 y 52) sin ninguna explicación.</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5 del Cap. VI y base de 53/52 anuladas de la Tabla 6.</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Añadir nota a la Tabla 3: «El hito del SIJ registra el último movimiento de segunda instancia del expediente; la Tabla 5 clasifica el pronunciamiento de la sentencia de vista efectivamente obtenida (85 y 78 documentos disponibles). Por ello las cifras no coinciden y no deben sustituirse entre sí.» (Verificar la explicación en la base.) Precisar además que la muestra se seleccionó por un hito adverso, por lo que la confirmación dentro de ella no es un resultado comparable.</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R-03</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 párrafo posterior a la Tabla 3</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frase da a entender que la comparabilidad quedó verificada, pero la propia Tabla 3 muestra diferencias de composición (conocimiento: 42,5 % frente a 27,5 %; abreviado: 37,9 % frente a 48,8 %). Aportes, por su parte, afirma que hay una «equivalencia sustancial verificada».</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Archivo APORTES (§ 1 y aporte metodológico) y Cap. VII, 2.8 («no garantiza equivalencia entre grupos»).</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«…tomando en consideración que la composición de ambos grupos condiciona el alcance del contraste posterior. Los grupos no son equivalentes por vía procesal: el grupo Oralidad contiene una mayor proporción de procesos abreviados, por lo que las comparaciones se leen como descriptivas y no ajustadas por vía.»</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R-04</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Nota de la Tabla 6 (Cap. VI)</w:t>
            </w:r>
          </w:p>
        </w:tc>
        <w:tc>
          <w:tcPr>
            <w:tcW w:type="dxa" w:w="1300"/>
            <w:tcBorders>
              <w:top w:val="single" w:color="BFBFBF" w:sz="4"/>
              <w:left w:val="single" w:color="BFBFBF" w:sz="4"/>
              <w:bottom w:val="single" w:color="BFBFBF" w:sz="4"/>
              <w:right w:val="single" w:color="BFBFBF" w:sz="4"/>
            </w:tcBorders>
            <w:shd w:fill="C4F0F0"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Forma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Tabla 6 usa las llamadas ᵃ, ᵇ, ᶜ, ᵈ, ᵉ y ᶠ, pero no incluye las notas. Sin ellas no se entiende que d) es la unión D13 ∪ D11 (8 y 15 expedientes), que g) es una categoría residual ni que las filas no suman 100.</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Versión de la Tabla 6 con notas (repositorio) y Tabla 6 del archivo DISCUSIÓN.</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Reponer la nota completa: «Sentencias de vista que declaran la NULIDAD: 53 del período Tradicional y 52 del período Oralidad. Se computan las causales con estatus DECLARADO por la Sala; los supuestos a) a g) corresponden a los códigos D14, D15, D21, D13 ∪ D11, D16 y D23. Los totales del bloque III cuentan resoluciones, no menciones. ᵃ Una resolución puede tener varias causales. ᵇ D12 se superpone en parte con c). ᶜ d) es la unión por expediente de D13 (7 y 11) y D11 (2 y 6). ᵈ Subtipo no codificado. ᵉ Sin código D equivalente; marcador de umbral. ᶠ Residual; 19 resoluciones pendientes de recodificar en a)–e).»</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R-05</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 1.2, párrafo posterior a la Tabla 6</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En el grupo Oralidad, la causal más frecuente de la Tabla 6 es d) motivación insuficiente (28,8 %), no e) (25,0 %). Además, la tabla la denomina «motivación sustancialmente incongruente», no «incongruencia procesal».</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6 del Cap. VI (verificada contra el Excel, hoja Marcas_declaradas).</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«…que la motivación sustancialmente incongruente es la causal más frecuente del período Tradicional (32,1 %) y desciende al 25,0 % en Oralidad, donde la supera la motivación insuficiente, que asciende del 15,1 % al 28,8 %…»</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R-06</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 1.3, segundo párrafo de sustento</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Usa lenguaje causal («demuestra», «efecto del modelo»). El cierre de 1.1 dice que la comparación «no permite atribuir causalidad exclusiva», y 2.7 aclara que los porcentajes tienen alcance descriptivo.</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 1.1 (último párrafo) y Cap. VII, 2.7.</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diferencia de 50,6 puntos porcentuales indica que la concentración es el indicador con la mayor diferencia entre grupos y el rasgo operativo más consistente asociado al modelo implementado…»</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R-07</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 1.3, párrafo sobre convenciones probatorias</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Contradicción interna: primero dice que no hay ninguna y luego que hubo una parcial.</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4 (0 y 0) y la misma oración.</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«No se computó ninguna convención probatoria en ambos grupos (0,0 %); en el grupo Oralidad se registró una convención parcial, que no se computó conforme al criterio de la ficha.» Añadir a la Tabla 4 la nota: «Recuentos de respuestas «SÍ» sobre 167 expedientes. Convenciones probatorias: un registro «PARCIAL» en Oralidad, no computado. Datos descriptivos, no ajustados por vía procedimental.»</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R-08</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Encabezado del Cap. VII «2. DISCUSIÓN»</w:t>
            </w:r>
          </w:p>
        </w:tc>
        <w:tc>
          <w:tcPr>
            <w:tcW w:type="dxa" w:w="1300"/>
            <w:tcBorders>
              <w:top w:val="single" w:color="BFBFBF" w:sz="4"/>
              <w:left w:val="single" w:color="BFBFBF" w:sz="4"/>
              <w:bottom w:val="single" w:color="BFBFBF" w:sz="4"/>
              <w:right w:val="single" w:color="BFBFBF" w:sz="4"/>
            </w:tcBorders>
            <w:shd w:fill="C4F0F0"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Forma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Hay dos Discusiones distintas: este Cap. VII y el archivo DISCUSIÓN (rotulado «CAPÍTULO V»), con afirmaciones contradictorias entre sí (ver D-01 a D-06). Además, la numeración interna no es coherente: el Cap. VI usa 1.1–1.3 y el Cap. VII usa 2.1–2.9.</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Archivo DISCUSIÓN completo.</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Conservar una sola Discusión. Sugerencia: usar como base el archivo DISCUSIÓN (más completo en triangulación), renumerado como Capítulo VII (7.1, 7.2…), incorporar en él las cautelas de este Cap. VII y eliminar este capítulo del archivo RESULTADOS. Numerar el Cap. VI como 6.1, 6.2 y 6.3.</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R-09</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2.2, segundo párrafo (se repite en 2.3 y 2.4)</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En la Tabla 6, c) deficiencia en la motivación externa es de las menos frecuentes (5,7 % y 11,5 %). La incongruencia, e), es una categoría distinta de c) en la tipología Llamoja. Llamarla «debilidad externa» mezcla categorías que la tabla separa. El mismo argumento se repite en 2.3 («Frente a Taruffo»), en 2.4 (Taruffo 2006) y en DISCUSIÓN 5.3.4.</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6 (c = 5,7 % / 11,5 %; e = 32,1 % / 25,0 %; d = 15,1 % / 28,8 %).</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«…lo que las Salas Civiles de Arequipa censuran no es principalmente la ausencia de justificación, sino la falta de correspondencia de la decisión con el objeto del debate (incongruencia) y la insuficiencia de las premisas, en especial la omisión de valorar prueba admitida o decisiva.» Ajustar igual 2.3 y 2.4.</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R-10</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2.4, primer párrafo (Bustamante y Angulo)</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Según la Tabla 4, 18 expedientes Tradicionales ACREDITAN concentración, así que 69 (87 − 18) no la acreditan. El texto dice «dieciocho sin concentración» y 43 + 18 = 61, que tampoco cuadra con 87. DISCUSIÓN 5.2.4 repite «sesenta y uno de ochenta y siete».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4 del Cap. VI (18/87 = 20,7 %).</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Verificar en el consolidado de 1.ª instancia cuántos expedientes Tradicionales tienen concentración parcial y cuántos ninguna, y redactar: «…—sesenta y nueve (69) de ochenta y siete (87) expedientes sin concentración acreditada, de los cuales [x] la registran de forma parcial y [y] no la registran— es la dispersión del saneamiento…»</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R-11</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2.4 (Amigó) y 2.5, 2.8</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El Cap. VI no presenta ninguna tabla de duración. Las medias 318,6 y 313,3 días solo aparecen en las Discusiones y en Aportes, Conclusiones y Recomendaciones, y podrían venir del corpus anterior de 100 expedientes.</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 (sin dato de duración); se usa en DISCUSIÓN 5.2.4, 5.3.5 y 5.4, y en APORTES (§ 3, § 6, Conclusión 3 y Recomendación 3).</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Incorporar al Cap. VI una tabla «Duración del control de segunda instancia, según período» (n, media, mediana, mínimo, máximo, definición del intervalo y fuente) calculada con el corpus actual (163 sentencias de vista), o suprimir todas las menciones.</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R-12</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2.6, segundo párrafo</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Mezcla la muestra (grupo Oralidad, 80 expedientes) con la serie anual de 2024 (328 sentencias). En la muestra, la confirmación es del 1,2 % y el 1,3 % (Tabla 5). El propio Cap. VI («Alcance de las bases de comparación») prohíbe combinar ambas bases.</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 «Alcance de las bases de comparación», y Tabla 5.</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«En el grupo Oralidad se observa mayor concentración; por su parte, la serie anual de 2024 registra una mayor proporción de confirmaciones que la de 2018 (72,6 % frente a 65,5 %).»</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R-13</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2.7, cuarto párrafo</w:t>
            </w:r>
          </w:p>
        </w:tc>
        <w:tc>
          <w:tcPr>
            <w:tcW w:type="dxa" w:w="1300"/>
            <w:tcBorders>
              <w:top w:val="single" w:color="BFBFBF" w:sz="4"/>
              <w:left w:val="single" w:color="BFBFBF" w:sz="4"/>
              <w:bottom w:val="single" w:color="BFBFBF" w:sz="4"/>
              <w:right w:val="single" w:color="BFBFBF" w:sz="4"/>
            </w:tcBorders>
            <w:shd w:fill="C4F0F0"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Forma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El orden de las cifras se lee al revés: parece que Oralidad tiene 32,1 %, cuando tiene 25,0 %.</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6.</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«…es menos frecuente en el grupo Oralidad (25,0 % frente a 32,1 %)…»</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R-14</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2.8, último párrafo</w:t>
            </w:r>
          </w:p>
        </w:tc>
        <w:tc>
          <w:tcPr>
            <w:tcW w:type="dxa" w:w="1300"/>
            <w:tcBorders>
              <w:top w:val="single" w:color="BFBFBF" w:sz="4"/>
              <w:left w:val="single" w:color="BFBFBF" w:sz="4"/>
              <w:bottom w:val="single" w:color="BFBFBF" w:sz="4"/>
              <w:right w:val="single" w:color="BFBFBF" w:sz="4"/>
            </w:tcBorders>
            <w:shd w:fill="C4F0F0"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Forma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Chiovenda, Cappelletti, Palomo Vélez y Cavani no se discuten en este Cap. VII; solo aparecen en el archivo DISCUSIÓN.</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Contenido de este mismo Cap. VII.</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Se resuelve al unificar la Discusión (R-08). Si se mantiene este Cap. VII, citar solo a los autores efectivamente discutidos.</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R-15</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2.9, Matriz integradora de Denzin</w:t>
            </w:r>
          </w:p>
        </w:tc>
        <w:tc>
          <w:tcPr>
            <w:tcW w:type="dxa" w:w="1300"/>
            <w:tcBorders>
              <w:top w:val="single" w:color="BFBFBF" w:sz="4"/>
              <w:left w:val="single" w:color="BFBFBF" w:sz="4"/>
              <w:bottom w:val="single" w:color="BFBFBF" w:sz="4"/>
              <w:right w:val="single" w:color="BFBFBF" w:sz="4"/>
            </w:tcBorders>
            <w:shd w:fill="C4F0F0"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Forma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matriz no tiene número ni título de tabla. APORTES la cita como «Tabla 15» y cita además las Tablas 7, 9, 10, 13 y 14, que no existen en el Cap. VI.</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Archivo APORTES (§ 1, 2, 3, 5 y 8).</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Numerarla correlativamente (p. ej., Tabla 7 = duración, si se añade; Tabla 8 = comprobación de la hipótesis; Tabla 9 = matriz de Denzin) y actualizar todas las remisiones en Aportes.</w:t>
            </w:r>
          </w:p>
        </w:tc>
      </w:tr>
      <w:tr>
        <w:tc>
          <w:tcPr>
            <w:tcW w:type="dxa" w:w="14570"/>
            <w:gridSpan w:val="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line="240"/>
              <w:jc w:val="left"/>
            </w:pPr>
            <w:r>
              <w:rPr>
                <w:rFonts w:ascii="Arial" w:cs="Arial" w:eastAsia="Arial" w:hAnsi="Arial"/>
                <w:b/>
                <w:bCs/>
                <w:sz w:val="15"/>
                <w:szCs w:val="15"/>
              </w:rPr>
              <w:t xml:space="preserve">DISCUSIÓN (final 4, «Capítulo V») — archivo MARCADO_DISCUSION_JUAN_QUISPE_LEON_final_4.docx</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D-01</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Encabezado «CAPÍTULO V»</w:t>
            </w:r>
          </w:p>
        </w:tc>
        <w:tc>
          <w:tcPr>
            <w:tcW w:type="dxa" w:w="1300"/>
            <w:tcBorders>
              <w:top w:val="single" w:color="BFBFBF" w:sz="4"/>
              <w:left w:val="single" w:color="BFBFBF" w:sz="4"/>
              <w:bottom w:val="single" w:color="BFBFBF" w:sz="4"/>
              <w:right w:val="single" w:color="BFBFBF" w:sz="4"/>
            </w:tcBorders>
            <w:shd w:fill="C4F0F0"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Forma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Discusión se rotula Capítulo V, pero en 5.1 remite a los resultados «presentados en el Capítulo VI»: la discusión quedaría antes que los resultados. El archivo RESULTADOS numera Resultados = Cap. VI y Discusión = Cap. VII. Además, 5.3.3 remite a un apartado «7.4» que no existe.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Archivo RESULTADOS (Cap. VI y VII).</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Rotular «CAPÍTULO VII» y renumerar 5.1–5.5 como 7.1–7.5 (o ajustar al índice definitivo). Eliminar el Cap. VII duplicado del archivo RESULTADOS (R-08).</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D-02</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5.2.1, primer párrafo</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Las convenciones probatorias no varían (0,0 % y 0,0 %), así que en ese indicador no hay «tendencia de mejora».</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4 del Cap. VI.</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«…presentan diferencias considerablemente menores o nulas (las convenciones probatorias no se registran en ningún grupo).»</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D-03</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5.1</w:t>
            </w:r>
          </w:p>
        </w:tc>
        <w:tc>
          <w:tcPr>
            <w:tcW w:type="dxa" w:w="1300"/>
            <w:tcBorders>
              <w:top w:val="single" w:color="BFBFBF" w:sz="4"/>
              <w:left w:val="single" w:color="BFBFBF" w:sz="4"/>
              <w:bottom w:val="single" w:color="BFBFBF" w:sz="4"/>
              <w:right w:val="single" w:color="BFBFBF" w:sz="4"/>
            </w:tcBorders>
            <w:shd w:fill="C4F0F0"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Forma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El texto cita «(Tabla 4)» y a continuación reproduce los mismos datos como «Tabla 5.1». Esa numeración no existe en el Cap. VI (Tablas 1–6) y la tabla perdió su nota de fuente.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4 del Cap. VI.</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Suprimir la Tabla 5.1 y remitir a la Tabla 4 (la discusión no debe reiterar tablas). Si se conserva, numerarla como Tabla 4 y reponer la nota: «Recuentos de respuestas «SÍ»… Convenciones probatorias: un registro «PARCIAL» en Oralidad, no computado.»</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D-04</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5.2.2, primer párrafo</w:t>
            </w:r>
          </w:p>
        </w:tc>
        <w:tc>
          <w:tcPr>
            <w:tcW w:type="dxa" w:w="1300"/>
            <w:tcBorders>
              <w:top w:val="single" w:color="BFBFBF" w:sz="4"/>
              <w:left w:val="single" w:color="BFBFBF" w:sz="4"/>
              <w:bottom w:val="single" w:color="BFBFBF" w:sz="4"/>
              <w:right w:val="single" w:color="BFBFBF" w:sz="4"/>
            </w:tcBorders>
            <w:shd w:fill="C4F0F0"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Forma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oración está incompleta (falta el verbo). Además, Aportes cita los «artículos II y V».</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Archivo APORTES, § 3 y 4.</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«…el de los principios rectores del proceso civil: los artículos II y V del Título Preliminar del Código Procesal Civil consagran la dirección e impulso de oficio, la inmediación, la concentración y la economía procesal.»</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D-05</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5.2.2, segundo párrafo</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Afirma una causalidad («demuestra… es un producto») que Resultados descarta expresamente. Tiene además un error de redacción: «El segundo bloque, La R. A.…».</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 1.1 («no permite atribuir causalidad exclusiva a las resoluciones administrativas») y Cap. VII, 2.1 del archivo RESULTADOS.</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«El segundo bloque lo integran la R. A. N.° 312-2018-CE-PJ… Confrontado el hallazgo con este marco, la evidencia es compatible con que la concentración procesal responda a la gestión judicial del módulo más que a un cambio normativo…»</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D-06</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5.2.3, tercer párrafo (Alarcón y Barba)</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Atribuye la baja frecuencia de convenciones a la defensa técnica sin que haya un dato que lo sustente (misma idea en 5.2.1: «aquello que requiere el concurso activo de la defensa técnica»).</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2.1 y 2.4 (RESULTADOS): «no bastan para imputar falta de colaboración a los abogados ni descartar dificultades de diseño».</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«…lo que es compatible con que las prácticas que requieren acuerdo de las partes avancen menos, aunque la diferencia también puede responder a la materia de la controversia y a la forma de documentar la audiencia.»</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D-07</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5.2.4, primer párrafo</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Según la Tabla 4, 69 de 87 expedientes Tradicionales (no 61) carecen de concentración acreditada. Ver R-10.</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4 del Cap. VI.</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Usar la cifra verificada en la base (R-10): «(sesenta y nueve de ochenta y siete expedientes sin concentración acreditada)…».</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D-08</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5.2.4, segundo párrafo (Peñaherrera)</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«Coincidencia plena» excede lo que permite una comparación descriptiva, y la duración no figura en el Cap. VI (R-11).</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 (sin dato de duración) y Cap. VII, 2.4.</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«Existe coincidencia: la concentración aumentó del 20,7 % al 71,3 %, pero las convenciones probatorias (0,0 %), la sentencia en audiencia (5,0 %) y la lectura oral del fallo (2,5 %) permanecieron como prácticas minoritarias.» (Añadir la duración solo si se incorpora su tabla.)</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D-09</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5.2.4, tercer párrafo (Ríos, 2013)</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Contradice directamente la otra Discusión.</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2.4 (RESULTADOS): «La coincidencia temática no permite descartar causas locales ni demostrar la persistencia de un mismo mecanismo causal entre países y períodos».</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coincidencia con un estudio de más de una década de antigüedad sugiere que el patrón no es exclusivo del módulo arequipeño, aunque no permite descartar causas locales ni demostrar un mismo mecanismo causal entre países y períodos.»</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D-10</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Numeración de 5.3</w:t>
            </w:r>
          </w:p>
        </w:tc>
        <w:tc>
          <w:tcPr>
            <w:tcW w:type="dxa" w:w="1300"/>
            <w:tcBorders>
              <w:top w:val="single" w:color="BFBFBF" w:sz="4"/>
              <w:left w:val="single" w:color="BFBFBF" w:sz="4"/>
              <w:bottom w:val="single" w:color="BFBFBF" w:sz="4"/>
              <w:right w:val="single" w:color="BFBFBF" w:sz="4"/>
            </w:tcBorders>
            <w:shd w:fill="C4F0F0"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Forma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numeración salta de 5.3.1 a 5.3.3 (no existe 5.3.2). Además, 5.3 carece del apartado «Hallazgo y evidencia», aunque 5.1 anuncia esa secuencia para cada objetivo.</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Estructura anunciada en 5.1 y seguida en 5.2.</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Insertar «5.3.1. Hallazgo y evidencia» (síntesis de las Tablas 5 y 6: vicios de motivación 56,6 % y 57,7 %; e) 32,1 % → 25,0 %; d) 15,1 % → 28,8 %; omisión de valoración 3,8 % → 11,5 %) y renumerar: 5.3.2 normativa, 5.3.3 jurisprudencial, 5.3.4 doctrinal, 5.3.5 antecedentes.</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D-11</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5.3.3, primer párrafo</w:t>
            </w:r>
          </w:p>
        </w:tc>
        <w:tc>
          <w:tcPr>
            <w:tcW w:type="dxa" w:w="1300"/>
            <w:tcBorders>
              <w:top w:val="single" w:color="BFBFBF" w:sz="4"/>
              <w:left w:val="single" w:color="BFBFBF" w:sz="4"/>
              <w:bottom w:val="single" w:color="BFBFBF" w:sz="4"/>
              <w:right w:val="single" w:color="BFBFBF" w:sz="4"/>
            </w:tcBorders>
            <w:shd w:fill="C4F0F0"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Forma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Tabla 6 aplica los supuestos a)–f) de la STC 00728-2008-PHC/TC: inexistencia o motivación aparente, falta de motivación interna, deficiencia en la motivación externa, motivación insuficiente, motivación sustancialmente incongruente y motivación cualificada. «Contradictoria» y «formularia» no son categorías del instrumento. En 5.3.1 se repite «aparente, insuficiente, contradictoria o formularia».</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6 del Cap. VI.</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Usar la misma nomenclatura de la Tabla 6 aquí y en 5.3.1. En la oración siguiente, «permitió distinguir motivación aparente, insuficiente, interna, externa e incongruente…».</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D-12</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5.3.3, primer párrafo</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Usa como parámetro una sentencia que la otra Discusión considera no corroborada. Además, el Cap. VI no tiene ningún indicador de inmediación derivado de ella, y el apartado «7.4» no existe.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2.5 (RESULTADOS): «Las referencias a la STC 00812-2022-PA/TC y a la Casación 4088-2019-Arequipa requieren corroborar texto, fundamento y pertinencia antes de atribuirles una regla sobre el MCCLO».</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Corroborar la STC 00812-2022-PA/TC (texto y fundamento) antes de citarla o suprimirla. Redactar: «…y la STC 03509-2009-PHC/TC aporta los criterios de plazo razonable, cuya aplicación se discute en el apartado [número real]».</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D-13</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5.3.3, segundo párrafo (Plenos Casatorios)</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El Cap. VI no contiene ningún dato sobre la aplicación de Plenos. La causal «omisión de regla vinculante» se retiró de la codificación y no figura en la Tabla 6. La Casación 4088-2019-Arequipa también requiere corroboración.</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2.5 (RESULTADOS): «La mera mención de un pleno no demuestra su aplicación correcta, del mismo modo que la falta de cita nominal no acredita su inobservancia».</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Suprimir el párrafo o reformularlo como contraste normativo: «Los Plenos Casatorios IV, IX, II y X constituyen parámetros pertinentes según la materia del expediente; la ficha no midió su aplicación, por lo que su mención no permite afirmar un cambio entre períodos.»</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D-14</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5.3.3, tercer párrafo</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Afirma que el modelo «redujo el defecto atribuible a su propia arquitectura» y que los demás le son «externos». Sin embargo, la Tabla 6 muestra que el bloque de relación procesal y procedimiento solo pasa del 37,7 % al 32,7 % y que aumentan la omisión de resolver incidencia previa (3,8 % → 11,5 %) y la nulidad concatenada (7,5 % → 11,5 %).</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2.5 (RESULTADOS): «no permite clasificarlos automáticamente como externos al modelo ni atribuir a este la eliminación de otros defectos».</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«Los vicios de relación procesal y procedimiento persisten en el 37,7 % y el 32,7 % de las sentencias anuladas: disminuyen la omisión del litisconsorte necesario (9,4 % → 3,8 %) y el emplazamiento defectuoso (9,4 % → 5,8 %), pero aumentan la omisión de resolver incidencia previa (3,8 % → 11,5 %) y la nulidad concatenada (7,5 % → 11,5 %). Su incidencia debe examinarse en cada caso, sin clasificarlos automáticamente como externos al modelo.»</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D-15</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5.3.4, primer párrafo (Taruffo)</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Tabla 6 distingue e) incongruencia de c) motivación externa (5,7 %), así que llamar «justificación externa» a la incongruencia confunde categorías. Además, en el período Tradicional d) (15,1 %) empata con D12 y la categoría residual g) (18,9 %) la supera.</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6 del Cap. VI; ver también R-09.</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«…como lo sugiere que la causal más frecuente del período Tradicional sea la motivación sustancialmente incongruente (32,1 %) y que en el período Oralidad gane peso la motivación insuficiente (28,8 %), incluida la omisión de valorar prueba admitida o decisiva (11,5 %): defectos referidos al objeto del debate y a las premisas, más que a la estructura lógica de la sentencia.»</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D-16</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6 (reproducida en 5.3.4)</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Esta Tabla 6 NO coincide con la Tabla 6 del Cap. VI. (i) d) motivación insuficiente = 7 (13,2 %) y 11 (21,2 %), pero el Excel (hoja Marcas_declaradas) da 8 (15,1 %) y 15 (28,8 %) para la unión D13 ∪ D11 que presupone la subfila «de ello: omisión de valoración». (ii) Falta la fila g) residual (10 y 9). (iii) Los agregados por familia usan otras definiciones (26,4/28,8; 22,6/36,5; 52,8/61,5) que las del Cap. VI (37,7/32,7; 22,6/25,0; 56,6/57,7). (iv) Incluye el universo 281/328 bajo columnas rotuladas n = 53 / n = 52. (v) Las llamadas ᵇ, ᶜ, ᵈ y ᵉ no tienen notas.</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6 del Cap. VI y Excel Corpus_Llamoja_UNIFICADO.xlsx.</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Suprimir esta tabla y remitir a la Tabla 6 del Cap. VI (con sus notas), o reemplazarla por una copia idéntica. El resultado del control sobre 281/328 corresponde a las Tablas 1 y 2, no a la Tabla 6.</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D-17</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5.3.4, párrafo sobre sana crítica (Palomo Vélez)</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Frecuencias idénticas (1 caso por grupo) no pueden «confirmar» una mejora atribuible a la inmediación.</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2.3 (RESULTADOS): «es igual y marginal en ambos grupos (1,9 %), por lo que no permite inferir una mejor organización probatoria ni identifica por sí sola la presencia o ausencia de inmediación».</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«…no encuentra en estos datos una comprobación directa: la prueba de oficio irregular y la falta de contradictorio de la prueba registran un solo caso en cada grupo (1,9 %), frecuencia igual y marginal que no permite medir la inmediación.»</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D-18</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5.3.4, párrafo sobre Groppo y Cavani</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El Cap. VI no presenta ningún indicador de «concordancia entre lo saneado y lo valorado». Las cifras de concordancia de 5.4 (76,5 %, 66,0 %, trece expedientes) provienen del corpus anterior.</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 (Tablas 1–6).</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«…es la que la ficha permite examinar a través de las causales declaradas por la Sala (Tabla 6)», o incorporar al Cap. VI la tabla de concordancia recalculada con los 167 expedientes.</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D-19</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5.3.5, primer párrafo (Giovanazzi)</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Combina dos bases (53/52 anuladas y series 281/328), lo que el Cap. VI prohíbe. Además, la anulación DESCIENDE, así que el dato no puede «confirmar» que aumente su probabilidad, y la cita de tabla es errónea (las series están en las Tablas 1 y 2).</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 «Alcance de las bases de comparación»; Tablas 1, 2 y 6.</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omisión de valoración de prueba admitida o decisiva pasó del 3,8 % al 11,5 % de las sentencias anuladas (Tabla 6). El dato es compatible con la tesis del antecedente, aunque no mide la probabilidad de anulación, que en las series anuales se mantiene estable (21,7 % y 20,1 %; Tablas 1 y 2).»</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D-20</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5.3.5, segundo párrafo (Groppo)</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Cinco casos (4 + 1) no constituyen un «sustento empírico» de la tesis.</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2.4 (RESULTADOS): «permiten examinar esa modalidad en el contexto local, pero no demostrar su superioridad… la afirmación requiere su seguimiento impugnatorio individual».</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«Los cinco expedientes con sentencia expedida en audiencia (cuatro del grupo Oralidad y uno del Tradicional) no registran anulación por defecto de motivación —de los dos anulados, uno lo fue por nulidad concatenada y otro por causal ajena a la motivación—; la base es demasiado reducida para demostrar la tesis, aunque no la contradice.»</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D-21</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5.3.5, tercer párrafo (Amigó; Verdesoto)</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Las medias 318,6/313,3 días no figuran en el Cap. VI (R-11), y la conclusión de «rasgo sistémico… y no una deficiencia local» contradice la otra Discusión. Revisar todo el resto del párrafo.</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2.4 (RESULTADOS): «el contraste entre ordenamientos es contextual y no acredita una causa común de demora»; 2.5: «No permite… identificarla como principal origen de la demora sin desagregar los tiempos del proceso».</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proximidad entre las duraciones medias del control superior (318,6 y 313,3 días; Tabla [n]) permite situar los resultados en ese debate; sin embargo, el contraste entre ordenamientos es contextual y no acredita una causa común de demora ni permite identificar la alzada como principal origen de la duración sin desagregar los tiempos del proceso.»</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D-22</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5.4, primer párrafo (modelo escritural)</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El 76,5 % (concordancia parcial) y el 48,8 % (anulación previa) no figuran en el Cap. VI: provienen del corpus anterior de 100 expedientes. El 34,5 % corresponde a la serie anual de 2018 (Tablas 1 y 2), no a «las sentencias Tradicionales» de la muestra, donde la censura es del 96,5 % (Tabla 5). Además, la cita «(Tabla 6)» es errónea.</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 Tablas 1, 2 y 5.</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«…y la sentencia quedaba expuesta a defectos de actividad procesal y probatoria. En la serie anual de 2018, el 34,5 % de las sentencias sometidas a control fue censurado (21,7 % anuladas y 12,8 % revocadas; Tabla 1).» Suprimir 76,5 % y 48,8 %, salvo que se recalculen y se incorporen al Cap. VI.</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D-23</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5.4, segundo párrafo (modelo Oralidad)</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El 66,0 % no figura en el Cap. VI (corpus anterior). El 72,6 % es de la serie anual de 2024, no del «período» muestral. La omisión de valoración (11,5 %) y el error de valoración (19,2 %) se miden sobre sentencias ANULADAS, es decir, que sí obligaron a retrotraer el proceso.</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2.6 (RESULTADOS): «No toda omisión probatoria es corregible directamente en alzada»; Cap. VI, Tablas 2 y 6.</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«En la serie anual de 2024, el 72,6 % de las sentencias resistió el examen (frente al 65,5 % de 2018) y la revocación descendió del 12,8 % al 7,3 % (Tablas 1 y 2). Entre las sentencias anuladas del grupo Oralidad persisten la valoración probatoria defectuosa (19,2 %), la motivación insuficiente (28,8 %) —incluida la omisión de valoración (11,5 %)— y la motivación incongruente (25,0 %), defectos que, por haber motivado la nulidad, determinaron la retroacción del proceso.»</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D-24</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5.4, «El primero es la trazabilidad»</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Usa porcentajes de un antecedente sin referencia completa, y los «trece expedientes» no figuran en el Cap. VI.</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2.4 y 2.6 (RESULTADOS): «La mención de un estudio de Arequipa de 2023 sin referencia completa no permite utilizar sus porcentajes como evidencia comparativa verificable».</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Citar el antecedente con autor, título y fuente, o suprimir el porcentaje. Sustituir la evidencia por la de la Tabla 6: «…la omisión de valoración de prueba admitida o decisiva asciende del 3,8 % al 11,5 % de las sentencias anuladas.»</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D-25</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5.4, «El segundo es la decisión»</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Afirma un efecto temporal que no se midió y «desmiente» una objeción con solo cinco casos.</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2.6 (RESULTADOS): «deben medirse los intervalos correspondientes; la información agregada no demuestra ese efecto»; 2.4: «no demostrar su superioridad».</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«…de modo que el tiempo eventualmente ganado en la audiencia podría perderse en la elaboración escrita posterior, efecto que requiere medirse. Ninguno de los cinco expedientes con sentencia en audiencia fue anulado por defecto de motivación; por su base reducida, el dato no confirma ni desmiente la objeción de que la decisión oral comprometería el razonamiento.»</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D-26</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5.4, «El tercero es la alzada»</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«reincidencia anulatoria» (48,8 % → 19,3 %) no figura en el Cap. VI (corpus anterior). La anulación no desciende en las series (21,7 % → 20,1 %) y la trazabilidad no se midió.</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2.5 y 2.8 (RESULTADOS): «el ahorro temporal debe medirse; no se deduce automáticamente de comparar frecuencias de nulidad»; «requiere reconstruir la cronología de cada expediente».</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«Bajo ese estándar, una menor reiteración de anulaciones podría reducir los recorridos procesales; sin embargo, la anulación se mantiene estable en las series anuales (21,7 % y 20,1 %) y el efecto sobre la duración total exige reconstruir la cronología de cada expediente. La trazabilidad entre hechos controvertidos, prueba admitida, actuación, valoración y motivación se propone como condición para verificar ese efecto, no como un resultado medido.»</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D-27</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5.5, enunciado de la hipótesis</w:t>
            </w:r>
          </w:p>
        </w:tc>
        <w:tc>
          <w:tcPr>
            <w:tcW w:type="dxa" w:w="1300"/>
            <w:tcBorders>
              <w:top w:val="single" w:color="BFBFBF" w:sz="4"/>
              <w:left w:val="single" w:color="BFBFBF" w:sz="4"/>
              <w:bottom w:val="single" w:color="BFBFBF" w:sz="4"/>
              <w:right w:val="single" w:color="BFBFBF" w:sz="4"/>
            </w:tcBorders>
            <w:shd w:fill="C4F0F0"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Forma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redacción está incompleta («dado que… es probable que…»). El enunciado debe coincidir literalmente con la hipótesis de la matriz de consistencia.</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Matriz de consistencia / proyecto.</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Transcribir la hipótesis literal entre comillas: «sostuvo que “[texto exacto de la hipótesis]”».</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D-28</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5.5, segundo párrafo</w:t>
            </w:r>
          </w:p>
        </w:tc>
        <w:tc>
          <w:tcPr>
            <w:tcW w:type="dxa" w:w="1300"/>
            <w:tcBorders>
              <w:top w:val="single" w:color="BFBFBF" w:sz="4"/>
              <w:left w:val="single" w:color="BFBFBF" w:sz="4"/>
              <w:bottom w:val="single" w:color="BFBFBF" w:sz="4"/>
              <w:right w:val="single" w:color="BFBFBF" w:sz="4"/>
            </w:tcBorders>
            <w:shd w:fill="C4F0F0"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Forma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Remite a una Tabla 7 que no existe en este archivo ni en el Cap. VI (se retiró en esta versión).</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Archivo RESULTADOS (Tablas 1–6).</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Reponer la Tabla «Comprobación de la hipótesis por dimensión de análisis» (versión del repositorio, con d) 15,1 % → 28,8 %: «No comprobada») o suprimir la remisión. Numerarla según R-15.</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D-29</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5.5, tercer párrafo</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cifra contradice la Tabla 6 y el 2.7 del archivo RESULTADOS (15,1 % y 28,8 %), verificados en el Excel (D13 ∪ D11: 8 de 53 y 15 de 52). 13,2/21,2 corresponde solo a D13.</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6 del Cap. VI; Cap. VII, 2.3 y 2.7.</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«(del 15,1 % al 28,8 %)». Añadir: «los vicios de la tipología Llamoja concurren en proporciones semejantes en ambos períodos (56,6 % y 57,7 % de las sentencias anuladas; Tabla 6)».</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D-30</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5.5, párrafo final</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«Significativamente» sugiere un contraste estadístico que no se hizo.</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2.7 (RESULTADOS): «Los porcentajes tienen alcance descriptivo y no constituyen un contraste estadístico de significancia»; «no corresponde declarar demostrada una mejora significativa ni homogénea».</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«…el Modelo de Oralidad Civil se asocia a una mejora clara de la estructura del proceso que conduce a la sentencia…»</w:t>
            </w:r>
          </w:p>
        </w:tc>
      </w:tr>
      <w:tr>
        <w:tc>
          <w:tcPr>
            <w:tcW w:type="dxa" w:w="14570"/>
            <w:gridSpan w:val="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line="240"/>
              <w:jc w:val="left"/>
            </w:pPr>
            <w:r>
              <w:rPr>
                <w:rFonts w:ascii="Arial" w:cs="Arial" w:eastAsia="Arial" w:hAnsi="Arial"/>
                <w:b/>
                <w:bCs/>
                <w:sz w:val="15"/>
                <w:szCs w:val="15"/>
              </w:rPr>
              <w:t xml:space="preserve">APORTES, CONCLUSIONES Y RECOMENDACIONES — archivo MARCADO_APORTES_CONCLUSIONES_RECOMENDACIONES_JUAN_MESABEL_QUISPE_LEON.docx</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A-01</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I.1, primer párrafo</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Son las cifras del corpus anterior.</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 167 expedientes (87/80), 163 sentencias de vista (85/78), 105 anuladas (53/52) y series 281/328.</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«El análisis se practicó sobre ciento sesenta y siete (167) expedientes civiles con sentencia de primera instancia —ochenta y siete (87) del grupo Tradicional y ochenta (80) del grupo Oralidad—, sobre ciento sesenta y tres (163) sentencias de vista, de las cuales ciento cinco (105) declararon la nulidad (53 y 52), y sobre las series anuales de sentencias de segunda instancia de 2018 (281) y 2024 (328)».</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A-02</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I.1, segundo párrafo</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Tabla 3 muestra diferencias por vía procesal y la Tabla 1 del Cap. VI es la serie de 2018, no la comparabilidad.</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 Tabla 3 («comparaciones descriptivas y no ajustadas por vía») y Cap. VII, 2.8 («no garantiza equivalencia entre grupos ni elimina factores de confusión»).</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«…construyó un corpus caracterizado por vía procesal y por hito de segunda instancia (Tabla 3), cuyas diferencias de composición se declaran y limitan las comparaciones a un plano descriptivo…»</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A-03</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I.2, hallazgo central</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Atribuye el menor avance a la defensa técnica sin un dato que lo respalde.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2.1 y 2.4 (RESULTADOS): «no bastan para imputar falta de colaboración a los abogados».</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«…y se debilitan en la emisión de la decisión y en las prácticas que requieren acuerdo de las partes, cuya baja frecuencia admite diversas explicaciones.»</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A-04</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I.2, «Dimensión de gestión procesal»</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Las cifras 20,9 % → 77,2 % (56,3 p. p.), 2,3 % → 17,5 %, 3,5 %, 19,3 % y 7,0 % son del corpus anterior.</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4 del Cap. VI.</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concentración acreditada del saneamiento, la fijación de puntos controvertidos y la admisión de medios probatorios en un solo acto pasó del 20,7 % al 71,3 % (Tabla 4), diferencia de 50,6 puntos porcentuales, la mayor entre los indicadores observados. La fijación expresa de hechos no controvertidos pasó del 0,0 % al 16,3 %; en cambio, no se computaron convenciones probatorias en ningún grupo, la sentencia expedida en audiencia alcanzó el 5,0 % y la lectura oral del sentido del fallo el 2,5 %.»</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A-05</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I.2, «Dimensión de calidad decisoria»</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 Confirmación 2,9 % → 60,0 % y censura 97,1 % → 40,0 % no corresponden a la Tabla 5 actual (confirmada 1,2 % y 1,3 %). (ii) La serie «63,1 % → 80,3 %, p = 0,002 (Tabla 13)» no existe: las series son 65,5 % → 72,6 % (Tablas 1 y 2) y el Cap. VII declara que no hay contraste de significancia (con estas cifras, una prueba χ² daría p ≈ 0,06 para la confirmación). (iii) La lista de defectos incluye una categoría no codificada (omisión de regla vinculante), una sin variación (prueba de oficio: 1,9 % y 1,9 %) y la motivación aparente, que se mantiene estable (9,4 % y 9,6 %).</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 Tablas 1, 2, 5 y 6; Cap. VII, 2.7.</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«Dimensión de estabilidad y calidad decisoria. En las series anuales, la confirmación ascendió del 65,5 % (2018) al 72,6 % (2024) y la revocación descendió del 12,8 % al 7,3 %, mientras la anulación se mantuvo estable (21,7 % y 20,1 %; Tablas 1 y 2). En las sentencias anuladas (Tabla 6), los vicios de motivación concurren en proporciones semejantes (56,6 % y 57,7 %): disminuyeron la motivación sustancialmente incongruente (32,1 % → 25,0 %), el litisconsorte necesario omitido (9,4 % → 3,8 %) y el emplazamiento defectuoso (9,4 % → 5,8 %), mientras aumentaron la motivación insuficiente (15,1 % → 28,8 %), la omisión de valoración de prueba admitida o decisiva (3,8 % → 11,5 %), la deficiencia en la motivación externa (5,7 % → 11,5 %), la omisión de resolver incidencia previa (3,8 % → 11,5 %) y la nulidad concatenada (7,5 % → 11,5 %); la motivación aparente se mantuvo (9,4 % y 9,6 %).»</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A-06</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I.3, «Vacío jurídico o brecha identificada»</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Presenta como «vacío jurídico» algo que la Discusión califica como problema de registro y de gestión.</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2.5 (RESULTADOS): «sustenta una propuesta de mejorar el registro y la conducción de la audiencia. No demuestra un vacío legislativo»; «La frecuencia reducida de un registro no permite concluir que deba incorporarse una nueva disposición al Código Procesal Civil».</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Retitular «3. Brecha de implementación identificada» y redactar: «…no se ha implementado un estándar uniforme de registro que permita verificar la trazabilidad entre… La investigación no acredita un vacío legislativo: la brecha se ubica en el registro y en la conducción de la audiencia.»</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A-07</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I.3, «Primero»</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El Cap. VI no contiene un indicador sobre la invocación de las R. A.</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2.5 (RESULTADOS): «La ausencia de cita expresa de las resoluciones administrativas en una sentencia no acredita, por sí misma, incumplimiento del modelo ni falta de control impugnatorio».</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Suprimir la frase o presentarla como hipótesis normativa a evaluar, no como evidencia.</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A-08</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I.3, «Segundo»</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Cifras del corpus anterior. La Tabla 9 no existe.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6 del Cap. VI (3,8 % → 11,5 %).</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omisión de valoración de prueba admitida o decisiva ascendió del 3,8 % al 11,5 % de las sentencias anuladas (Tabla 6).»</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A-09</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I.3, «Tercero»</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Las «58 sentencias anuladas por vicio de motivación», la externa 19,0 % → 40,5 % y la incongruente 42,9 % → 24,3 % (Tabla 14) son del corpus anterior. En la Tabla 6 actual, c) pasa del 5,7 % al 11,5 %, e) del 32,1 % al 25,0 % y d) del 15,1 % al 28,8 %: el desplazamiento principal es hacia la INSUFICIENCIA, no hacia la justificación externa. «Mejora la justificación interna» no se sostiene: b) pasa de 5 a 4 casos.</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6 y Cap. VII, 2.3 («de la incongruencia… hacia la motivación insuficiente»).</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«Tercero, un desplazamiento del vicio de motivación no atendido por el modelo. En las 105 sentencias anuladas (53 y 52), los vicios de motivación concurren en proporciones semejantes (56,6 % y 57,7 %), pero cambia su composición: la motivación sustancialmente incongruente desciende del 32,1 % al 25,0 %, mientras la motivación insuficiente asciende del 15,1 % al 28,8 % —incluida la omisión de valoración de prueba admitida o decisiva, del 3,8 % al 11,5 %— y la deficiencia en la motivación externa del 5,7 % al 11,5 % (Tabla 6). El protocolo de audiencia no interviene sobre la justificación de las premisas, que se elabora por escrito después de la audiencia.»</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A-10</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I.3, «Cuarto»</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duración del control superior no se presenta en el Cap. VI (R-11), y el «rasgo sistémico de las reformas latinoamericanas» contradice la Discusión.</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2.4 y 2.5 (RESULTADOS): «el contraste entre ordenamientos es contextual y no acredita una causa común de demora»; «No permite… identificarla como principal origen de la demora sin desagregar los tiempos».</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«Cuarto, una brecha de medición en la segunda instancia. La reforma se construyó sobre la audiencia de primera instancia; la diferencia entre las duraciones medias del control superior es reducida (318,6 y 313,3 días; Tabla [n]), pero sin desagregar los tiempos del proceso no puede identificarse la alzada como origen principal de la demora ni afirmarse una causa común con otros ordenamientos.»</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A-11</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I.4, primer párrafo</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Cifras del corpus anterior; lenguaje causal («se explica por»); y la frase final contradice la Discusión.</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4 (20,7 % → 71,3 %); Cap. VI, 1.1; Cap. VII, 2.5.</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«El salto de la concentración del 20,7 % al 71,3 % no se asocia a una norma nueva, pues los principios del artículo V del Título Preliminar del CPC rigen desde 1993, sino que es compatible con el protocolo de audiencia y su supervisión. La variable crítica se ubica, en consecuencia, en la gestión del despacho.» (Suprimir «sin perjuicio de la conveniencia de incorporar el modelo al Código…».)</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A-12</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I.4, tercer párrafo</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Con los datos actuales, las dimensiones no se mueven «en sentidos distintos»: la estabilidad mejora y la motivación de las sentencias anuladas no varía en conjunto (56,6 % y 57,7 %).</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Tablas 1, 2 y 6.</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evidencia muestra que ambas dimensiones no evolucionaron de la misma manera: la estabilidad mejora en las series anuales, mientras la frecuencia de vicios de motivación en las sentencias anuladas se mantiene…»</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A-13</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I.5, párrafo introductorio</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Dice «primera medición» y usa las cifras del corpus anterior (cien expedientes, ciento trece sentencias).</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2.8 (RESULTADOS): «no acredita que sea la primera utilización civil de la tipología ni que no existan estudios anteriores en Arequipa».</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«El aporte empírico consiste en una medición sistemática, en el ámbito de la Sede Central de Arequipa, del efecto del Modelo de Oralidad Civil sobre el producto final del proceso, con base en 167 expedientes, 163 sentencias de vista (105 anuladas) y las series anuales de 2018 y 2024:»</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A-14</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I.5, viñeta 1 (modelo escritural)</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97,1 % de censura y 48,8 % de anulación previa son cifras del corpus anterior. En la muestra actual la censura es casi total en ambos grupos (96,5 % y 97,4 %) porque los expedientes se seleccionaron por su hito de segunda instancia (Tabla 3), así que no es un resultado comparable.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Tablas 1, 3 y 5 del Cap. VI.</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«Bajo el modelo escritural, el patrón dominante es la dispersión del saneamiento en resoluciones sucesivas y separadas (solo el 20,7 % acredita concentración); en la serie anual de 2018, el 34,5 % de las sentencias sometidas a control fue anulado o revocado.»</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A-15</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I.5, viñeta 2 (modelo de oralidad)</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«Seis de cada diez» (60 %) y la «reincidencia anulatoria» del 19,3 % son del corpus anterior.</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Tablas 2 y 4 del Cap. VI.</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«Bajo el modelo de oralidad, la concentración alcanza el 71,3 %; en la serie anual de 2024, el 72,6 % de las sentencias resistió el control superior y la revocación descendió al 7,3 %.»</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A-16</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I.5, viñeta 3 (nulidad vs. revocatoria)</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«80,6 % → 70,1 %» y «19,4 % → 29,9 %» (Tabla 7) no existen. Con los datos actuales ocurre lo contrario: dentro de los pronunciamientos adversos, la anulación SUBE del 62,9 % (61 de 97) al 73,3 % (66 de 90) en las series anuales, y del 64,6 % al 68,4 % en la muestra (Tabla 5).</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Tablas 1, 2 y 5 del Cap. VI.</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Suprimir la viñeta o invertir su sentido: «Dentro del control adverso, la revocatoria perdió peso frente a la nulidad: en las series anuales, la anulación pasó del 62,9 % al 73,3 % de los pronunciamientos adversos, porque la revocación descendió (12,8 % → 7,3 %) mientras la anulación se mantuvo (21,7 % → 20,1 %).»</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A-17</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I.5, viñeta 4</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«Tabla 10» no existe: el Cap. VI solo analiza las causales de las sentencias ANULADAS, no las de las revocadas.</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 (Tabla 6 solo sobre 53/52 anuladas).</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Suprimir, o incorporar al Cap. VI la tabla de causales de las 53 revocadas (29 + 24) si se quiere sostener la afirmación.</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A-18</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I.5, viñeta 5</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concurrencia de vicios de motivación del 42,9 % y el 43,2 % no figura en el Cap. VI.</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Suprimir, o recalcular (proporción de anuladas con dos o más vicios de motivación) e incorporar al Cap. VI.</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A-19</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I.5, diagnóstico de los tres puntos</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Afirma un efecto temporal que no se midió y una conclusión sobre la alzada que la Discusión rechaza.</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2.6 («la información agregada no demuestra ese efecto») y 2.5 (RESULTADOS).</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decisión, porque el modelo concentró el debate pero no el fallo (sentencia en audiencia: 5,0 %); y la medición de la segunda instancia, cuya duración no se ha desagregado por tramos, lo que impide evaluar su incidencia en el plazo razonable.»</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A-20</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I.6, primer párrafo (caso Llamoja)</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En la Tabla 6, el supuesto f) figura con «—» (marcador de umbral, sin código D equivalente), no con «0 casos». Existe además una categoría residual g) con 19 resoluciones aún no recodificadas. «Sin pérdida de capacidad discriminante» es excesivo mientras exista ese residual.</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6 y Cap. VII, 2.2: «debe distinguir una categoría no identificada de una ausencia demostrada del defecto».</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«…Aplicada a los supuestos a) a e) —el f) se empleó como marcador de umbral reforzado, sin código equivalente—, permitió distinguir… y hacer visible el desplazamiento del vicio entre períodos, de la motivación sustancialmente incongruente (32,1 % → 25,0 %) hacia la motivación insuficiente (15,1 % → 28,8 %). Diecinueve resoluciones (10 y 9) permanecen en la categoría residual g), pendientes de recodificación.»</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A-21</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I.6, segundo párrafo (Plenos)</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El Cap. VI no mide la aplicación de Plenos, y la causal «omisión de regla vinculante» se retiró de la codificación (no está en la Tabla 6).</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2.5 (RESULTADOS): «La mera mención de un pleno no demuestra su aplicación correcta».</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Suprimir el párrafo.</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A-22</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I.6, tercer párrafo (STC 3509-2009)</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reincidencia anulatoria (48,8 % → 19,3 %) no está en el Cap. VI y la anulación es estable en las series (21,7 % y 20,1 %).</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2.5 y 2.8 (RESULTADOS): el ahorro temporal «debe medirse»; «requiere reconstruir la cronología de cada expediente».</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«Respecto de la STC 03509-2009-PHC/TC, la investigación distingue la duración de una revisión superior de la duración total que incluye eventuales reenvíos, y precisa que el efecto de las nulidades sobre el plazo razonable exige reconstruir la cronología de cada expediente.»</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A-23</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I.7, aporte normativo (primer párrafo)</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Propone incorporar el modelo al CPC con base en que las sentencias «casi nunca invocan» las R. A., un dato que no está en el Cap. VI.</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2.5 (RESULTADOS): «La necesidad de una reforma legislativa exige identificar una insuficiencia normativa concreta»; «cualquier propuesta de reforma debe partir de una insuficiencia normativa comprobada».</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Reformular el aporte como propuesta de gestión (protocolo de acta, trazabilidad, medición por tramos) y dejar la reforma legal como evaluación condicionada (ver Propuesta de recomendaciones, recomendación sexta).</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A-24</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I.7, propuesta 1 (regulación legal de la audiencia preliminar)</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Presenta la reforma legal como consecuencia directa de los hallazgos.</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2.5 (RESULTADOS).</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Convertirla en «Evaluación de la suficiencia de la regulación administrativa de la audiencia preliminar, como paso previo a una eventual iniciativa legislativa».</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A-25</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I.7, propuesta 3 (adecuación de la alzada)</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Da por probado que la alzada es «el tramo del proceso ajeno al efecto de la reforma», cuando sus tiempos no se desagregaron.</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2.5 (RESULTADOS): «No permite concluir que la alzada carezca de cambios en su método de trabajo ni identificarla como principal origen de la demora».</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«Medición de la duración por tramos (incluida la segunda instancia y los reenvíos) como base para decidir si la alzada requiere adecuarse a la estructura oral de la instancia.»</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A-26</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I.8, primer párrafo</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Afirma una causalidad («acredita… es un producto») y propone medir la «concordancia entre lo saneado y lo valorado», indicador que no existe en el Cap. VI.</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 1.1 (no atribución causal).</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investigación muestra que la concentración procesal se asocia al protocolo de audiencia y a su supervisión…» y sustituir «el seguimiento del porcentaje de concordancia» por «el seguimiento de los indicadores de la Tabla 4 y de las causales de la Tabla 6».</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A-27</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I.8, segundo párrafo (sentencia en audiencia)</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Dice «once expedientes» con sentencia en audiencia, pero son cinco (4 + 1). Además, afirmar que «su extensión no compromete la debida motivación» excede lo que permiten esos datos.</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4 y Cap. VII, 2.4 (RESULTADOS): «no demostrar su superioridad».</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«…ninguno de los cinco expedientes con sentencia expedida dentro de la audiencia (cuatro del grupo Oralidad y uno del Tradicional) fue anulado por defecto de motivación. El dato, de base reducida, no es concluyente: justifica evaluar la práctica mediante un seguimiento impugnatorio, no afirmar que su extensión no compromete la motivación.»</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A-28</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I.8, aporte metodológico</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Tabla 1 es la serie de 2018 y la Tabla 3 muestra que los grupos no son equivalentes por vía.</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 Tabla 3; Cap. VII, 2.8.</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caracterización del corpus por vía procesal y por hito de segunda instancia (Tabla 3), con declaración expresa de sus diferencias de composición, constituye un procedimiento transferible…»</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A-29</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I.8, aporte a la metodología de la discusión</w:t>
            </w:r>
          </w:p>
        </w:tc>
        <w:tc>
          <w:tcPr>
            <w:tcW w:type="dxa" w:w="1300"/>
            <w:tcBorders>
              <w:top w:val="single" w:color="BFBFBF" w:sz="4"/>
              <w:left w:val="single" w:color="BFBFBF" w:sz="4"/>
              <w:bottom w:val="single" w:color="BFBFBF" w:sz="4"/>
              <w:right w:val="single" w:color="BFBFBF" w:sz="4"/>
            </w:tcBorders>
            <w:shd w:fill="C4F0F0"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Forma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matriz de Denzin no tiene número en el Cap. VII.</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Archivo RESULTADOS, 2.9 (R-15).</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Usar el número que se asigne a la matriz (p. ej., Tabla 9).</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A-30</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I.9, síntesis (primer párrafo)</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Usa cifras del corpus anterior (20,9 % → 77,2 %; 2,9 % → 60,0 %; 48,8 % → 19,3 %).</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 Tablas 1, 2, 4 y 6.</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«Mi investigación muestra que el Modelo de Oralidad Civil… produce una efectividad positiva pero diferenciada: se asocia a una transformación de la gestión del proceso —la concentración pasa del 20,7 % al 71,3 %— y a una mayor estabilidad de las sentencias en las series anuales —la confirmación asciende del 65,5 % al 72,6 % y la revocación desciende del 12,8 % al 7,3 %—, pero no reduce el defecto de motivación de las sentencias anuladas, que se mantiene en proporciones semejantes (56,6 % y 57,7 %) y cambia de composición, ni acredita una reducción de la duración del proceso.»</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A-31</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I.9, segundo párrafo</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Con los datos actuales, lo que más crece es la motivación insuficiente y la omisión de valoración, no la justificación externa.</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6; Cap. VII, 2.3.</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«…la individualización del saneamiento probatorio y la valoración completa de la prueba admitida en la motivación de la sentencia…»</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A-32</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I.9, tercer párrafo</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 Dice «acreditarla empíricamente como la variable que explica el efecto», pero la trazabilidad/concordancia no se midió en el Cap. VI. (ii) Habla de un desplazamiento «hacia la justificación externa», cuando es hacia la insuficiencia. (iii) Menciona un «procedimiento de control de comparabilidad» (ver A-28).</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2.3 y 2.6 (RESULTADOS): «La concentración facilita su observación, pero no garantiza esa correspondencia».</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«Mi aporte científico-jurídico consiste en delimitar la categoría de trazabilidad procesal como condición de verificabilidad del efecto del modelo sobre la sentencia; en aplicar sistemáticamente la tipología de vicios de motivación del caso Llamoja al proceso civil, lo que revela un desplazamiento del vicio desde la incongruencia hacia la motivación insuficiente; y en ofrecer un instrumento de análisis documental replicable, previa revisión de sus definiciones y criterios de codificación.»</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A-33</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II. Conclusión primera</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Usa las cifras del corpus anterior (20,9 % → 77,2 %; 17,5 %; 19,3 %; 7,0 %) y afirma una causalidad («Se debe al protocolo… previstos en la R. A. N.º 049-2020-CE-PJ») que Resultados descarta.</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4; Cap. VI, 1.1.</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Reemplazar por la CONCLUSIÓN PRIMERA sugerida en el informe (Parte C).</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A-34</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II. Conclusión segunda</w:t>
            </w:r>
          </w:p>
        </w:tc>
        <w:tc>
          <w:tcPr>
            <w:tcW w:type="dxa" w:w="1300"/>
            <w:tcBorders>
              <w:top w:val="single" w:color="BFBFBF" w:sz="4"/>
              <w:left w:val="single" w:color="BFBFBF" w:sz="4"/>
              <w:bottom w:val="single" w:color="BFBFBF" w:sz="4"/>
              <w:right w:val="single" w:color="BFBFBF" w:sz="4"/>
            </w:tcBorders>
            <w:shd w:fill="F9CCF2"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Cifra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Usa cifras del corpus anterior (19,0 % → 40,5 %; 42,9 % → 24,3 %; 1,8 % → 9,3 %) y afirma una «mejor justificación interna» (b: 5 → 4 casos) y una disminución de la «omisión de regla vinculante», categoría no codificada.</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Tabla 6; Cap. VII, 2.3 y 2.7.</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Reemplazar por la CONCLUSIÓN SEGUNDA sugerida en el informe (Parte C).</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A-35</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II. Conclusión tercera</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El primer tramo (34,5 % → 27,4 %; 65,5 % → 72,6 %; 12,8 % → 7,3 %; 21,7 % y 20,1 %) es correcto. Pero la lista de defectos incluye categorías no codificadas o sin variación y repite la Conclusión 2; la duración no figura en el Cap. VI; y «porque la reforma… no cambió el método de trabajo de las Salas» es una atribución causal que la Discusión rechaza. Falta además una conclusión sobre el objetivo general y la hipótesis.</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2.5 y 2.7 (RESULTADOS).</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Reemplazar por las CONCLUSIONES TERCERA y CUARTA sugeridas en el informe (Parte C).</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A-36</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III. Recomendación 1 (CEPJ: incorporar al CPC)</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Recomienda directamente una reforma legal. Contiene además la errata «R. A. N.º 3122018-CE-PJ».</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2.5 (RESULTADOS): «La frecuencia reducida de un registro no permite concluir que deba incorporarse una nueva disposición al Código Procesal Civil».</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Reemplazar por la Propuesta de recomendaciones (informe, Parte D); la reforma legal pasa a ser una evaluación condicionada (recomendación sexta).</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A-37</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III. Recomendación 2 (protocolo de acta)</w:t>
            </w:r>
          </w:p>
        </w:tc>
        <w:tc>
          <w:tcPr>
            <w:tcW w:type="dxa" w:w="1300"/>
            <w:tcBorders>
              <w:top w:val="single" w:color="BFBFBF" w:sz="4"/>
              <w:left w:val="single" w:color="BFBFBF" w:sz="4"/>
              <w:bottom w:val="single" w:color="BFBFBF" w:sz="4"/>
              <w:right w:val="single" w:color="BFBFBF" w:sz="4"/>
            </w:tcBorders>
            <w:shd w:fill="C4F0F0"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Forma</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Es coherente con los resultados, pero el indicador no tiene línea base ni meta, y la «finalidad» atribuye la marginalidad a los abogados.</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Se conserva, ampliada, como recomendación primera de la propuesta (línea base: 16,3 % de hechos no controvertidos; 0 % de convenciones).</w:t>
            </w:r>
          </w:p>
        </w:tc>
      </w:tr>
      <w:tr>
        <w:trPr>
          <w:cantSplit w:val="off"/>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bCs/>
                <w:sz w:val="15"/>
                <w:szCs w:val="15"/>
              </w:rPr>
              <w:t xml:space="preserve">A-38</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III. Recomendación 3 (apelación)</w:t>
            </w:r>
          </w:p>
        </w:tc>
        <w:tc>
          <w:tcPr>
            <w:tcW w:type="dxa" w:w="1300"/>
            <w:tcBorders>
              <w:top w:val="single" w:color="BFBFBF" w:sz="4"/>
              <w:left w:val="single" w:color="BFBFBF" w:sz="4"/>
              <w:bottom w:val="single" w:color="BFBFBF" w:sz="4"/>
              <w:right w:val="single" w:color="BFBFBF" w:sz="4"/>
            </w:tcBorders>
            <w:shd w:fill="FFF2A8" w:color="auto" w:val="clear"/>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Interpretación</w:t>
            </w:r>
          </w:p>
        </w:tc>
        <w:tc>
          <w:tcPr>
            <w:tcW w:type="dxa" w:w="3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Da por probado que la alzada es el «cuello de botella» sin que los tiempos se hayan desagregado, y la duración no figura en el Cap. VI.</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Cap. VII, 2.5 (RESULTADOS): «No permite… identificarla como principal origen de la demora sin desagregar los tiempos del proceso».</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40"/>
              <w:jc w:val="left"/>
            </w:pPr>
            <w:r>
              <w:rPr>
                <w:rFonts w:ascii="Arial" w:cs="Arial" w:eastAsia="Arial" w:hAnsi="Arial"/>
                <w:b w:val="false"/>
                <w:bCs w:val="false"/>
                <w:sz w:val="15"/>
                <w:szCs w:val="15"/>
              </w:rPr>
              <w:t xml:space="preserve">Reemplazar por la recomendación cuarta de la propuesta (medición por tramos como base para decidir la adecuación de la alzada).</w:t>
            </w:r>
          </w:p>
        </w:tc>
      </w:tr>
    </w:tbl>
    <w:sectPr>
      <w:footerReference w:type="default" r:id="rId7"/>
      <w:pgSz w:w="16838" w:h="11906" w:orient="landscape"/>
      <w:pgMar w:top="1000" w:right="1134" w:bottom="10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86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coherencia y propuesta de recomendaciones</dc:title>
  <dc:creator>Revisión de coherencia</dc:creator>
  <cp:lastModifiedBy>Un-named</cp:lastModifiedBy>
  <cp:revision>1</cp:revision>
  <dcterms:created xsi:type="dcterms:W3CDTF">2026-09-29T11:43:49.180Z</dcterms:created>
  <dcterms:modified xsi:type="dcterms:W3CDTF">2026-09-29T11:43:49.181Z</dcterms:modified>
</cp:coreProperties>
</file>

<file path=docProps/custom.xml><?xml version="1.0" encoding="utf-8"?>
<Properties xmlns="http://schemas.openxmlformats.org/officeDocument/2006/custom-properties" xmlns:vt="http://schemas.openxmlformats.org/officeDocument/2006/docPropsVTypes"/>
</file>