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02AB" w14:textId="77777777" w:rsidR="004D0ADA" w:rsidRPr="000B3761" w:rsidRDefault="00000000" w:rsidP="000B3761">
      <w:pPr>
        <w:pStyle w:val="Ttulo1"/>
        <w:jc w:val="both"/>
        <w:rPr>
          <w:lang w:val="es-PE"/>
        </w:rPr>
      </w:pPr>
      <w:commentRangeStart w:id="0"/>
      <w:r>
        <w:rPr>
          <w:lang w:val="es-PE"/>
        </w:rPr>
        <w:t>Aporte, conclusiones y recomendaciones</w:t>
      </w:r>
      <w:commentRangeEnd w:id="0"/>
      <w:r>
        <w:rPr>
          <w:rStyle w:val="CommentReference"/>
        </w:rPr>
        <w:commentReference w:id="0"/>
      </w:r>
    </w:p>
    <w:p w14:paraId="07994B31" w14:textId="77777777" w:rsidR="004D0ADA" w:rsidRPr="000B3761" w:rsidRDefault="00000000" w:rsidP="000B3761">
      <w:pPr>
        <w:pStyle w:val="Ttulo2"/>
        <w:jc w:val="both"/>
        <w:rPr>
          <w:lang w:val="es-PE"/>
        </w:rPr>
      </w:pPr>
      <w:r>
        <w:rPr>
          <w:lang w:val="es-PE"/>
        </w:rPr>
        <w:t>Efectividad del Modelo de Oralidad Civil en las sentencias de los Juzgados Civiles de la Sede Central de la Corte Superior de Justicia de Arequipa</w:t>
      </w:r>
    </w:p>
    <w:p w14:paraId="04493122" w14:textId="77777777" w:rsidR="004D0ADA" w:rsidRPr="000B3761" w:rsidRDefault="00000000" w:rsidP="000B3761">
      <w:pPr>
        <w:pStyle w:val="Ttulo1"/>
        <w:jc w:val="both"/>
        <w:rPr>
          <w:lang w:val="es-PE"/>
        </w:rPr>
      </w:pPr>
      <w:r>
        <w:rPr>
          <w:lang w:val="es-PE"/>
        </w:rPr>
        <w:t>I. APORTE DE LA INVESTIGACIÓN</w:t>
      </w:r>
    </w:p>
    <w:p w14:paraId="06EE8E44" w14:textId="77777777" w:rsidR="004D0ADA" w:rsidRPr="000B3761" w:rsidRDefault="00000000" w:rsidP="000B3761">
      <w:pPr>
        <w:pStyle w:val="Ttulo2"/>
        <w:jc w:val="both"/>
        <w:rPr>
          <w:lang w:val="es-PE"/>
        </w:rPr>
      </w:pPr>
      <w:r>
        <w:rPr>
          <w:lang w:val="es-PE"/>
        </w:rPr>
        <w:t>1. Presentación general del aporte</w:t>
      </w:r>
    </w:p>
    <w:p w14:paraId="08D480ED" w14:textId="77777777" w:rsidR="004D0ADA" w:rsidRPr="000B3761" w:rsidRDefault="00000000" w:rsidP="000B3761">
      <w:pPr>
        <w:jc w:val="both"/>
        <w:rPr>
          <w:lang w:val="es-PE"/>
        </w:rPr>
      </w:pPr>
      <w:r>
        <w:rPr>
          <w:lang w:val="es-PE"/>
        </w:rPr>
        <w:t xml:space="preserve">El aporte de la investigación titulada </w:t>
      </w:r>
      <w:r>
        <w:rPr>
          <w:i/>
          <w:lang w:val="es-PE"/>
        </w:rPr>
        <w:t>Efectividad del Modelo de Oralidad Civil en las sentencias de los Juzgados Civiles de la Sede Central de la Corte Superior de Justicia de Arequipa</w:t>
      </w:r>
      <w:r>
        <w:rPr>
          <w:lang w:val="es-PE"/>
        </w:rPr>
        <w:t xml:space="preserve"> se configura como una contribución empírica, dogmática y de gestión judicial, debido a que permite distinguir, con evidencia documental verificable en el texto de las resoluciones, entre la vigencia normativa de los principios de oralidad, inmediación y concentración y su eficacia operativa efectivamente alcanzada. </w:t>
      </w:r>
      <w:commentRangeStart w:id="1"/>
      <w:r>
        <w:rPr>
          <w:highlight w:val="magenta"/>
          <w:lang w:val="es-PE"/>
        </w:rPr>
        <w:t xml:space="preserve">El análisis se practicó sobre cien (100) expedientes civiles —cuarenta y tres (43) tramitados bajo el modelo escritural y cincuenta y siete (57) bajo el Modelo de Oralidad Civil— y sobre un subcorpus de ciento trece (113) sentencias de vista nulas y revocadas</w:t>
      </w:r>
      <w:commentRangeEnd w:id="1"/>
      <w:r>
        <w:rPr>
          <w:rStyle w:val="CommentReference"/>
        </w:rPr>
        <w:commentReference w:id="1"/>
      </w:r>
      <w:r>
        <w:rPr>
          <w:lang w:val="es-PE"/>
        </w:rPr>
        <w:t xml:space="preserve">, correspondientes a los Juzgados Civiles de la Sede Central de Arequipa y a las Salas Civiles que ejercen sobre ellos el control de segunda instancia.</w:t>
      </w:r>
    </w:p>
    <w:p w14:paraId="5B62BCBE" w14:textId="77777777" w:rsidR="004D0ADA" w:rsidRPr="000B3761" w:rsidRDefault="00000000" w:rsidP="000B3761">
      <w:pPr>
        <w:jc w:val="both"/>
        <w:rPr>
          <w:lang w:val="es-PE"/>
        </w:rPr>
      </w:pPr>
      <w:r>
        <w:rPr>
          <w:lang w:val="es-PE"/>
        </w:rPr>
        <w:t xml:space="preserve">La contribución no consistió en emitir un juicio global sobre la reforma procesal, sino en determinar en qué dimensiones el modelo produjo efectos acreditables, en cuáles no los produjo y por qué razón estructural se verifica esa diferencia. A tal efecto, la investigación </w:t>
      </w:r>
      <w:commentRangeStart w:id="2"/>
      <w:r>
        <w:rPr>
          <w:highlight w:val="yellow"/>
          <w:lang w:val="es-PE"/>
        </w:rPr>
        <w:t xml:space="preserve">construyó un corpus comparable, verificado en su equivalencia sustancial por materia, vía procesal y resultado de primera instancia (Tabla 1)</w:t>
      </w:r>
      <w:commentRangeEnd w:id="2"/>
      <w:r>
        <w:rPr>
          <w:rStyle w:val="CommentReference"/>
        </w:rPr>
        <w:commentReference w:id="2"/>
      </w:r>
      <w:r>
        <w:rPr>
          <w:lang w:val="es-PE"/>
        </w:rPr>
        <w:t xml:space="preserve">, y aplicó una ficha de análisis documental que registró, expediente por expediente, los principios observables del modelo, el sentido del pronunciamiento superior y los defectos declarados por la Sala Civil.</w:t>
      </w:r>
    </w:p>
    <w:p w14:paraId="75EFAB26" w14:textId="77777777" w:rsidR="004D0ADA" w:rsidRPr="000B3761" w:rsidRDefault="00000000" w:rsidP="000B3761">
      <w:pPr>
        <w:pStyle w:val="Ttulo2"/>
        <w:jc w:val="both"/>
        <w:rPr>
          <w:lang w:val="es-PE"/>
        </w:rPr>
      </w:pPr>
      <w:r>
        <w:rPr>
          <w:lang w:val="es-PE"/>
        </w:rPr>
        <w:t>2. Hallazgo central</w:t>
      </w:r>
    </w:p>
    <w:p w14:paraId="0685C0C0" w14:textId="77777777" w:rsidR="004D0ADA" w:rsidRPr="000B3761" w:rsidRDefault="00000000" w:rsidP="000B3761">
      <w:pPr>
        <w:jc w:val="both"/>
        <w:rPr>
          <w:lang w:val="es-PE"/>
        </w:rPr>
      </w:pPr>
      <w:r>
        <w:rPr>
          <w:lang w:val="es-PE"/>
        </w:rPr>
        <w:t xml:space="preserve">Se determinó que el Modelo de Oralidad Civil presenta una </w:t>
      </w:r>
      <w:r>
        <w:rPr>
          <w:b/>
          <w:lang w:val="es-PE"/>
        </w:rPr>
        <w:t>efectividad positiva, parcial y diferenciada según la dimensión examinada</w:t>
      </w:r>
      <w:r>
        <w:rPr>
          <w:lang w:val="es-PE"/>
        </w:rPr>
        <w:t xml:space="preserve">, debido a que sus efectos se concentran en aquello que la dirección judicial controla directamente y se debilitan en aquello que depende de la elaboración escrita posterior a la audiencia </w:t>
      </w:r>
      <w:commentRangeStart w:id="3"/>
      <w:r>
        <w:rPr>
          <w:highlight w:val="yellow"/>
          <w:lang w:val="es-PE"/>
        </w:rPr>
        <w:t xml:space="preserve">o del concurso activo de la defensa técnica</w:t>
      </w:r>
      <w:commentRangeEnd w:id="3"/>
      <w:r>
        <w:rPr>
          <w:rStyle w:val="CommentReference"/>
        </w:rPr>
        <w:commentReference w:id="3"/>
      </w:r>
      <w:r>
        <w:rPr>
          <w:lang w:val="es-PE"/>
        </w:rPr>
        <w:t xml:space="preserve">. El resultado es una transformación real de la gestión del proceso sin una elevación homogénea de la calidad interna de la sentencia.</w:t>
      </w:r>
    </w:p>
    <w:p w14:paraId="5440479C" w14:textId="77777777" w:rsidR="004D0ADA" w:rsidRPr="000B3761" w:rsidRDefault="00000000" w:rsidP="000B3761">
      <w:pPr>
        <w:jc w:val="both"/>
        <w:rPr>
          <w:lang w:val="es-PE"/>
        </w:rPr>
      </w:pPr>
      <w:r>
        <w:rPr>
          <w:lang w:val="es-PE"/>
        </w:rPr>
        <w:t>Este hallazgo se encuentra respaldado por tres bloques de evidencia:</w:t>
      </w:r>
    </w:p>
    <w:p w14:paraId="41081EE9" w14:textId="77777777" w:rsidR="004D0ADA" w:rsidRPr="000B3761" w:rsidRDefault="00000000" w:rsidP="000B3761">
      <w:pPr>
        <w:jc w:val="both"/>
        <w:rPr>
          <w:lang w:val="es-PE"/>
        </w:rPr>
      </w:pPr>
      <w:commentRangeStart w:id="4"/>
      <w:r>
        <w:rPr>
          <w:b/>
          <w:highlight w:val="magenta"/>
          <w:lang w:val="es-PE"/>
        </w:rPr>
        <w:t>Dimensión de gestión procesal.</w:t>
      </w:r>
      <w:r>
        <w:rPr>
          <w:highlight w:val="magenta"/>
          <w:lang w:val="es-PE"/>
        </w:rPr>
        <w:t xml:space="preserve"> La concentración acreditada del saneamiento, la fijación de puntos controvertidos y la admisión de medios probatorios en un solo acto pasó del 20,9 % al 77,2 % (Tabla 4), diferencia de 56,3 puntos porcentuales que constituye el efecto operativo más intenso y consistente del modelo. La fijación expresa de hechos no controvertidos ascendió del 2,3 % al 17,5 %; en cambio, las convenciones probatorias alcanzaron solo el 3,5 %, la sentencia expedida en audiencia el 19,3 % y la lectura oral del sentido del fallo el 7,0 %.</w:t>
      </w:r>
      <w:commentRangeEnd w:id="4"/>
      <w:r>
        <w:rPr>
          <w:rStyle w:val="CommentReference"/>
        </w:rPr>
        <w:commentReference w:id="4"/>
      </w:r>
    </w:p>
    <w:p w14:paraId="6F96B86B" w14:textId="77777777" w:rsidR="004D0ADA" w:rsidRPr="000B3761" w:rsidRDefault="00000000" w:rsidP="000B3761">
      <w:pPr>
        <w:pStyle w:val="Prrafodelista"/>
        <w:numPr>
          <w:ilvl w:val="0"/>
          <w:numId w:val="2"/>
        </w:numPr>
        <w:jc w:val="both"/>
        <w:rPr>
          <w:lang w:val="es-PE"/>
        </w:rPr>
      </w:pPr>
      <w:commentRangeStart w:id="5"/>
      <w:r>
        <w:rPr>
          <w:b/>
          <w:highlight w:val="magenta"/>
          <w:lang w:val="es-PE"/>
        </w:rPr>
        <w:lastRenderedPageBreak/>
        <w:t>Dimensión de calidad decisoria.</w:t>
      </w:r>
      <w:r>
        <w:rPr>
          <w:highlight w:val="magenta"/>
          <w:lang w:val="es-PE"/>
        </w:rPr>
        <w:t xml:space="preserve"> La confirmación de la sentencia apelada ascendió del 2,9 % al 60,0 % y la censura —anulación más revocación— descendió del 97,1 % al 40,0 % (Tabla 5). En el universo de sentencias de vista, el aumento de la confirmación entre 2018 y 2024, del 63,1 % al 80,3 %, resultó estadísticamente significativo (p = 0,002; Tabla 13). Sin embargo, el registro ampliado de defectos (Tabla 6) no acreditó una reducción uniforme: disminuyeron la falta de motivación interna, la prueba admitida no actuada, la prueba de oficio sin contradictorio, la omisión de regla vinculante y la falta de incorporación del litisconsorte necesario, mientras aumentaron la motivación inexistente o aparente, la deficiencia de motivación externa, la motivación insuficiente, la omisión de valoración de prueba decisiva y la nulidad concatenada.</w:t>
      </w:r>
      <w:commentRangeEnd w:id="5"/>
      <w:r>
        <w:rPr>
          <w:rStyle w:val="CommentReference"/>
        </w:rPr>
        <w:commentReference w:id="5"/>
      </w:r>
    </w:p>
    <w:p w14:paraId="6CAAE3E5" w14:textId="626E02A3" w:rsidR="004D0ADA" w:rsidRPr="000B3761" w:rsidRDefault="00000000" w:rsidP="000B3761">
      <w:pPr>
        <w:jc w:val="both"/>
        <w:rPr>
          <w:lang w:val="es-PE"/>
        </w:rPr>
      </w:pPr>
      <w:r>
        <w:rPr>
          <w:lang w:val="es-PE"/>
        </w:rPr>
        <w:t xml:space="preserve">La consecuencia jurídica del hallazgo es que la efectividad del modelo no puede predicarse de manera unitaria. La mejora acreditada opera sobre la estabilidad global de la decisión su aptitud para resistir el control superior y no sobre cada componente de su justificación, categorías que la investigación demuestra relacionadas pero no equivalentes.</w:t>
      </w:r>
    </w:p>
    <w:p w14:paraId="72F5B5BC" w14:textId="77777777" w:rsidR="004D0ADA" w:rsidRPr="000B3761" w:rsidRDefault="00000000" w:rsidP="000B3761">
      <w:pPr>
        <w:jc w:val="both"/>
        <w:rPr>
          <w:lang w:val="es-PE"/>
        </w:rPr>
      </w:pPr>
      <w:r>
        <w:rPr>
          <w:lang w:val="es-PE"/>
        </w:rPr>
        <w:t xml:space="preserve">La diferencia respecto de las investigaciones precedentes reside en el objeto de la medición. Los antecedentes identificados —Bustamante y Angulo (2020), Peñaherrera Toapaxi (2022), Ríos (2013), Amigó Aliaga (2024), Verdesoto Pazmiño y Villalva Fonseca (2025)— describieron la oralidad desde su diseño institucional, desde la observación de audiencias o desde propuestas normativas de reforma de la alzada. La presente investigación midió el efecto del modelo en el producto final del proceso, esto es, en el texto de la sentencia y en el sentido del pronunciamiento superior que recae sobre ella, y sobre esa base localizó el punto exacto en que la cadena procesal se interrumpe.</w:t>
      </w:r>
    </w:p>
    <w:p w14:paraId="5749DCB7" w14:textId="77777777" w:rsidR="004D0ADA" w:rsidRPr="000B3761" w:rsidRDefault="00000000" w:rsidP="000B3761">
      <w:pPr>
        <w:pStyle w:val="Ttulo2"/>
        <w:jc w:val="both"/>
        <w:rPr>
          <w:lang w:val="es-PE"/>
        </w:rPr>
      </w:pPr>
      <w:r>
        <w:rPr>
          <w:lang w:val="es-PE"/>
        </w:rPr>
        <w:t>3. Vacío jurídico o brecha identificada</w:t>
      </w:r>
    </w:p>
    <w:p w14:paraId="47A53637" w14:textId="77777777" w:rsidR="004D0ADA" w:rsidRPr="000B3761" w:rsidRDefault="00000000" w:rsidP="000B3761">
      <w:pPr>
        <w:jc w:val="both"/>
        <w:rPr>
          <w:lang w:val="es-PE"/>
        </w:rPr>
      </w:pPr>
      <w:r>
        <w:rPr>
          <w:lang w:val="es-PE"/>
        </w:rPr>
        <w:t xml:space="preserve">La investigación identificó que, aunque los principios de inmediación, concentración y economía procesal rigen desde 1993 en los artículos II y V del Título Preliminar del Código Procesal Civil, y aunque el Módulo Civil Corporativo de Litigación Oral fue creado por la R. A. N.º 312-2018-CE-PJ y reglamentado por la R. A. N.º 049-2020-CE-PJ, </w:t>
      </w:r>
      <w:commentRangeStart w:id="6"/>
      <w:r>
        <w:rPr>
          <w:highlight w:val="yellow"/>
          <w:lang w:val="es-PE"/>
        </w:rPr>
        <w:t xml:space="preserve">no se encuentra regulado ni implementado un estándar exigible de trazabilidad</w:t>
      </w:r>
      <w:commentRangeEnd w:id="6"/>
      <w:r>
        <w:rPr>
          <w:rStyle w:val="CommentReference"/>
        </w:rPr>
        <w:commentReference w:id="6"/>
      </w:r>
      <w:r>
        <w:rPr>
          <w:lang w:val="es-PE"/>
        </w:rPr>
        <w:t xml:space="preserve"> entre los hechos controvertidos fijados en audiencia, la prueba admitida, su actuación, su valoración y la motivación de la sentencia.</w:t>
      </w:r>
    </w:p>
    <w:p w14:paraId="281DBEBD" w14:textId="77777777" w:rsidR="004D0ADA" w:rsidRPr="000B3761" w:rsidRDefault="00000000" w:rsidP="000B3761">
      <w:pPr>
        <w:jc w:val="both"/>
        <w:rPr>
          <w:lang w:val="es-PE"/>
        </w:rPr>
      </w:pPr>
      <w:r>
        <w:rPr>
          <w:lang w:val="es-PE"/>
        </w:rPr>
        <w:t>La brecha se manifiesta en cuatro planos concretos.</w:t>
      </w:r>
    </w:p>
    <w:p w14:paraId="182B1B93" w14:textId="77777777" w:rsidR="004D0ADA" w:rsidRPr="000B3761" w:rsidRDefault="00000000" w:rsidP="000B3761">
      <w:pPr>
        <w:jc w:val="both"/>
        <w:rPr>
          <w:lang w:val="es-PE"/>
        </w:rPr>
      </w:pPr>
      <w:r>
        <w:rPr>
          <w:b/>
          <w:lang w:val="es-PE"/>
        </w:rPr>
        <w:t>Primero, un vacío normativo de rango legal.</w:t>
      </w:r>
      <w:r>
        <w:rPr>
          <w:lang w:val="es-PE"/>
        </w:rPr>
        <w:t xml:space="preserve"> El Código Procesal Civil no regula la audiencia preliminar; su fundamento se integra a partir de las facultades directrices del juez (artículo 51, inciso 3), de la audiencia de conciliación y saneamiento (artículo 324) y de los deberes previstos en los artículos 5, 6 y 185, inciso 1, de la Ley Orgánica del Poder Judicial. El modelo subsiste, por tanto, sobre resoluciones administrativas del Consejo Ejecutivo del Poder Judicial, cuya infracción no genera consecuencia procesal exigible por las partes. </w:t>
      </w:r>
      <w:commentRangeStart w:id="7"/>
      <w:r>
        <w:rPr>
          <w:highlight w:val="yellow"/>
          <w:lang w:val="es-PE"/>
        </w:rPr>
        <w:t xml:space="preserve">La evidencia confirma el efecto de ese estatuto: las sentencias del período de oralidad casi nunca invocan las resoluciones administrativas bajo las cuales se tramitan, de modo que el modelo opera como práctica de gestión interiorizada y no como marco normativo argumentado y controlable.</w:t>
      </w:r>
      <w:commentRangeEnd w:id="7"/>
      <w:r>
        <w:rPr>
          <w:rStyle w:val="CommentReference"/>
        </w:rPr>
        <w:commentReference w:id="7"/>
      </w:r>
    </w:p>
    <w:p w14:paraId="48CD91BF" w14:textId="32504740" w:rsidR="004D0ADA" w:rsidRPr="000B3761" w:rsidRDefault="00000000" w:rsidP="000B3761">
      <w:pPr>
        <w:jc w:val="both"/>
        <w:rPr>
          <w:lang w:val="es-PE"/>
        </w:rPr>
      </w:pPr>
      <w:r>
        <w:rPr>
          <w:b/>
          <w:lang w:val="es-PE"/>
        </w:rPr>
        <w:t>Segundo, una deficiencia de protocolo en el saneamiento probatorio.</w:t>
      </w:r>
      <w:commentRangeStart w:id="8"/>
      <w:r>
        <w:rPr>
          <w:highlight w:val="magenta"/>
          <w:lang w:val="es-PE"/>
        </w:rPr>
        <w:t xml:space="preserve"> No existe una exigencia formal de identificación individualizada de cada medio de prueba admitido o rechazado en el acta de audiencia preliminar, ni de expresión de la razón del rechazo. Sin ese registro, la concordancia entre lo saneado y lo valorado deja de ser verificable por el órgano superior y reaparece la omisión valorativa: la omisión de </w:t>
        <w:lastRenderedPageBreak/>
        <w:t>valoración de prueba admitida o decisiva ascendió del 1,8 % al 9,3 % en el registro ampliado (Tabla 6), y del 2,8 % al 6,5 % como defecto principal de resoluciones adversas (Tabla 9).</w:t>
      </w:r>
      <w:commentRangeEnd w:id="8"/>
      <w:r>
        <w:rPr>
          <w:rStyle w:val="CommentReference"/>
        </w:rPr>
        <w:commentReference w:id="8"/>
      </w:r>
    </w:p>
    <w:p w14:paraId="115D20D6" w14:textId="77777777" w:rsidR="004D0ADA" w:rsidRPr="000B3761" w:rsidRDefault="00000000" w:rsidP="000B3761">
      <w:pPr>
        <w:jc w:val="both"/>
        <w:rPr>
          <w:lang w:val="es-PE"/>
        </w:rPr>
      </w:pPr>
      <w:commentRangeStart w:id="9"/>
      <w:r>
        <w:rPr>
          <w:highlight w:val="magenta"/>
          <w:lang w:val="es-PE"/>
        </w:rPr>
        <w:t>Tercero, un desplazamiento del vicio de motivación no atendido por el modelo. El examen focalizado de las cincuenta y ocho (58) sentencias de vista anuladas por vicio de motivación demuestra que dicho vicio no disminuye, sino que cambia de naturaleza: computadas las menciones, la deficiencia en la motivación externa gana 21,5 puntos porcentuales (del 19,0 % al 40,5 %) y la motivación sustancialmente incongruente pierde 18,6 (del 42,9 % al 24,3 %), conforme a la Tabla 14. El modelo mejora el encuadre del razonamiento y la justificación interna, pero deja indemne la justificación externa de las premisas fáctica y normativa, que se elabora por escrito después de la audiencia y sobre la cual el protocolo vigente no interviene.</w:t>
      </w:r>
      <w:commentRangeEnd w:id="9"/>
      <w:r>
        <w:rPr>
          <w:rStyle w:val="CommentReference"/>
        </w:rPr>
        <w:commentReference w:id="9"/>
      </w:r>
    </w:p>
    <w:p w14:paraId="3CC15A0E" w14:textId="584809F9" w:rsidR="004D0ADA" w:rsidRPr="000B3761" w:rsidRDefault="00000000" w:rsidP="000B3761">
      <w:pPr>
        <w:jc w:val="both"/>
        <w:rPr>
          <w:lang w:val="es-PE"/>
        </w:rPr>
      </w:pPr>
      <w:commentRangeStart w:id="10"/>
      <w:r>
        <w:rPr>
          <w:highlight w:val="yellow"/>
          <w:lang w:val="es-PE"/>
        </w:rPr>
        <w:t xml:space="preserve">Cuarto, un desajuste estructural entre la oralidad de instancia y la escrituralidad. La reforma se construyó sobre la audiencia de primera instancia y no reformuló el método de trabajo de los órganos colegiados, lo que explica que la duración media del control superior se mantenga invariable entre períodos. El mismo desajuste ha sido documentado en los ordenamientos argentino y ecuatoriano, lo que sugiere un rasgo sistémico de las reformas latinoamericanas antes que una deficiencia local de implementación.</w:t>
      </w:r>
      <w:commentRangeEnd w:id="10"/>
      <w:r>
        <w:rPr>
          <w:rStyle w:val="CommentReference"/>
        </w:rPr>
        <w:commentReference w:id="10"/>
      </w:r>
    </w:p>
    <w:p w14:paraId="60A89A49" w14:textId="77777777" w:rsidR="004D0ADA" w:rsidRPr="000B3761" w:rsidRDefault="00000000" w:rsidP="000B3761">
      <w:pPr>
        <w:jc w:val="both"/>
        <w:rPr>
          <w:lang w:val="es-PE"/>
        </w:rPr>
      </w:pPr>
      <w:r>
        <w:rPr>
          <w:lang w:val="es-PE"/>
        </w:rPr>
        <w:t>Estas deficiencias ocasionan que una parte del resultado de la reforma quede fuera del alcance del control jurisdiccional y limitan la protección del derecho a la debida motivación (artículo 139, inciso 5, de la Constitución), del derecho a la prueba y del plazo razonable (artículo 139, inciso 3).</w:t>
      </w:r>
    </w:p>
    <w:p w14:paraId="3F33BC22" w14:textId="77777777" w:rsidR="004D0ADA" w:rsidRPr="000B3761" w:rsidRDefault="00000000" w:rsidP="000B3761">
      <w:pPr>
        <w:pStyle w:val="Ttulo2"/>
        <w:jc w:val="both"/>
        <w:rPr>
          <w:lang w:val="es-PE"/>
        </w:rPr>
      </w:pPr>
      <w:r>
        <w:rPr>
          <w:lang w:val="es-PE"/>
        </w:rPr>
        <w:t>4. Aporte teórico-dogmático y conceptual</w:t>
      </w:r>
    </w:p>
    <w:p w14:paraId="3EC5477B" w14:textId="77777777" w:rsidR="004D0ADA" w:rsidRPr="000B3761" w:rsidRDefault="00000000" w:rsidP="000B3761">
      <w:pPr>
        <w:jc w:val="both"/>
        <w:rPr>
          <w:lang w:val="es-PE"/>
        </w:rPr>
      </w:pPr>
      <w:r>
        <w:rPr>
          <w:lang w:val="es-PE"/>
        </w:rPr>
        <w:t xml:space="preserve">La investigación aporta al debate sobre la reforma procesal civil peruana la distinción operativa entre </w:t>
      </w:r>
      <w:r>
        <w:rPr>
          <w:b/>
          <w:lang w:val="es-PE"/>
        </w:rPr>
        <w:t>vigencia normativa</w:t>
      </w:r>
      <w:r>
        <w:rPr>
          <w:lang w:val="es-PE"/>
        </w:rPr>
        <w:t xml:space="preserve"> y </w:t>
      </w:r>
      <w:r>
        <w:rPr>
          <w:b/>
          <w:lang w:val="es-PE"/>
        </w:rPr>
        <w:t>eficacia operativa</w:t>
      </w:r>
      <w:r>
        <w:rPr>
          <w:lang w:val="es-PE"/>
        </w:rPr>
        <w:t xml:space="preserve"> de un principio procesal. </w:t>
      </w:r>
      <w:commentRangeStart w:id="11"/>
      <w:r>
        <w:rPr>
          <w:highlight w:val="magenta"/>
          <w:lang w:val="es-PE"/>
        </w:rPr>
        <w:t xml:space="preserve">El salto de la concentración del 20,9 % al 77,2 % no se explica por una norma nueva, pues los principios del artículo V del Título Preliminar del Código Procesal Civil rigen desde 1993, sino por el protocolo de audiencia y por su supervisión. La variable crítica de una reforma de oralidad se ubica, en consecuencia, en la gestión del despacho y no en el texto legal, sin perjuicio de la conveniencia de incorporar el modelo al Código para dotarlo de exigibilidad procesal.</w:t>
      </w:r>
      <w:commentRangeEnd w:id="11"/>
      <w:r>
        <w:rPr>
          <w:rStyle w:val="CommentReference"/>
        </w:rPr>
        <w:commentReference w:id="11"/>
      </w:r>
    </w:p>
    <w:p w14:paraId="31541F70" w14:textId="77777777" w:rsidR="004D0ADA" w:rsidRPr="000B3761" w:rsidRDefault="00000000" w:rsidP="000B3761">
      <w:pPr>
        <w:jc w:val="both"/>
        <w:rPr>
          <w:lang w:val="es-PE"/>
        </w:rPr>
      </w:pPr>
      <w:r>
        <w:rPr>
          <w:lang w:val="es-PE"/>
        </w:rPr>
        <w:t xml:space="preserve">En el plano conceptual, la investigación delimita la categoría de </w:t>
      </w:r>
      <w:r>
        <w:rPr>
          <w:b/>
          <w:lang w:val="es-PE"/>
        </w:rPr>
        <w:t>trazabilidad procesal</w:t>
      </w:r>
      <w:r>
        <w:rPr>
          <w:lang w:val="es-PE"/>
        </w:rPr>
        <w:t>, entendida como la correspondencia verificable en el texto de las actuaciones entre los hechos controvertidos fijados en audiencia, la prueba admitida, su actuación, su valoración y la motivación de la sentencia. Esta categoría no equivale a la inmediación ni a la concentración: es la condición que permite al órgano superior controlar si la audiencia produjo el efecto que se le atribuye. Su fundamento dogmático se apoya en Taruffo, quien vincula la garantía de defensa con el derecho a la prueba y deriva de este el derecho de las partes a conocer, mediante la motivación, las razones específicas de la exclusión o limitación de los medios probatorios ofrecidos, justificación que no puede considerarse implícita.</w:t>
      </w:r>
    </w:p>
    <w:p w14:paraId="0346D8CB" w14:textId="77777777" w:rsidR="004D0ADA" w:rsidRPr="000B3761" w:rsidRDefault="00000000" w:rsidP="000B3761">
      <w:pPr>
        <w:jc w:val="both"/>
        <w:rPr>
          <w:lang w:val="es-PE"/>
        </w:rPr>
      </w:pPr>
      <w:r>
        <w:rPr>
          <w:lang w:val="es-PE"/>
        </w:rPr>
        <w:t xml:space="preserve">Asimismo, la investigación distingue entre </w:t>
      </w:r>
      <w:r>
        <w:rPr>
          <w:b/>
          <w:lang w:val="es-PE"/>
        </w:rPr>
        <w:t>estabilidad global de la sentencia</w:t>
      </w:r>
      <w:r>
        <w:rPr>
          <w:lang w:val="es-PE"/>
        </w:rPr>
        <w:t xml:space="preserve"> —su aptitud para resistir el control superior— y </w:t>
      </w:r>
      <w:r>
        <w:rPr>
          <w:b/>
          <w:lang w:val="es-PE"/>
        </w:rPr>
        <w:t>calidad interna de su justificación</w:t>
      </w:r>
      <w:r>
        <w:rPr>
          <w:lang w:val="es-PE"/>
        </w:rPr>
        <w:t xml:space="preserve"> —la corrección de cada componente de la motivación—. </w:t>
      </w:r>
      <w:commentRangeStart w:id="12"/>
      <w:r>
        <w:rPr>
          <w:highlight w:val="yellow"/>
          <w:lang w:val="es-PE"/>
        </w:rPr>
        <w:t xml:space="preserve">La evidencia demuestra que ambas dimensiones se movieron en sentidos distintos</w:t>
      </w:r>
      <w:commentRangeEnd w:id="12"/>
      <w:r>
        <w:rPr>
          <w:rStyle w:val="CommentReference"/>
        </w:rPr>
        <w:commentReference w:id="12"/>
      </w:r>
      <w:r>
        <w:rPr>
          <w:lang w:val="es-PE"/>
        </w:rPr>
        <w:t xml:space="preserve">, por lo que su tratamiento como categorías equivalentes conduce a sobreestimar el efecto de la reforma.</w:t>
      </w:r>
    </w:p>
    <w:p w14:paraId="4FF793B3" w14:textId="77777777" w:rsidR="004D0ADA" w:rsidRPr="000B3761" w:rsidRDefault="00000000" w:rsidP="000B3761">
      <w:pPr>
        <w:pStyle w:val="Ttulo2"/>
        <w:jc w:val="both"/>
        <w:rPr>
          <w:lang w:val="es-PE"/>
        </w:rPr>
      </w:pPr>
      <w:r>
        <w:rPr>
          <w:lang w:val="es-PE"/>
        </w:rPr>
        <w:lastRenderedPageBreak/>
        <w:t>5. Aporte empírico y diagnóstico</w:t>
      </w:r>
    </w:p>
    <w:p w14:paraId="67EA1D75" w14:textId="77777777" w:rsidR="004D0ADA" w:rsidRPr="000B3761" w:rsidRDefault="00000000" w:rsidP="000B3761">
      <w:pPr>
        <w:jc w:val="both"/>
        <w:rPr>
          <w:lang w:val="es-PE"/>
        </w:rPr>
      </w:pPr>
      <w:commentRangeStart w:id="13"/>
      <w:r>
        <w:rPr>
          <w:highlight w:val="magenta"/>
          <w:lang w:val="es-PE"/>
        </w:rPr>
        <w:t>El aporte empírico consiste en la primera medición, en el ámbito de la Sede Central de Arequipa, del efecto del Modelo de Oralidad Civil sobre el producto final del proceso. La investigación documenta, con base en cien expedientes comparables y ciento trece sentencias de vista adversas, lo siguiente:</w:t>
      </w:r>
      <w:commentRangeEnd w:id="13"/>
      <w:r>
        <w:rPr>
          <w:rStyle w:val="CommentReference"/>
        </w:rPr>
        <w:commentReference w:id="13"/>
      </w:r>
    </w:p>
    <w:p w14:paraId="1B7903C6" w14:textId="77777777" w:rsidR="004D0ADA" w:rsidRPr="000B3761" w:rsidRDefault="00000000" w:rsidP="000B3761">
      <w:pPr>
        <w:pStyle w:val="Prrafodelista"/>
        <w:numPr>
          <w:ilvl w:val="0"/>
          <w:numId w:val="3"/>
        </w:numPr>
        <w:jc w:val="both"/>
        <w:rPr>
          <w:lang w:val="es-PE"/>
        </w:rPr>
      </w:pPr>
      <w:commentRangeStart w:id="14"/>
      <w:r>
        <w:rPr>
          <w:highlight w:val="magenta"/>
          <w:lang w:val="es-PE"/>
        </w:rPr>
        <w:t>Bajo el modelo escritural, el patrón dominante es la dispersión del saneamiento en resoluciones sucesivas y separadas; el 97,1 % de las sentencias sometidas a control fue censurado y el 48,8 % de los expedientes acumuló al menos una anulación previa.</w:t>
      </w:r>
      <w:commentRangeEnd w:id="14"/>
      <w:r>
        <w:rPr>
          <w:rStyle w:val="CommentReference"/>
        </w:rPr>
        <w:commentReference w:id="14"/>
      </w:r>
    </w:p>
    <w:p w14:paraId="0C92767C" w14:textId="77777777" w:rsidR="004D0ADA" w:rsidRPr="000B3761" w:rsidRDefault="00000000" w:rsidP="000B3761">
      <w:pPr>
        <w:pStyle w:val="Prrafodelista"/>
        <w:numPr>
          <w:ilvl w:val="0"/>
          <w:numId w:val="3"/>
        </w:numPr>
        <w:jc w:val="both"/>
        <w:rPr>
          <w:lang w:val="es-PE"/>
        </w:rPr>
      </w:pPr>
      <w:commentRangeStart w:id="15"/>
      <w:r>
        <w:rPr>
          <w:highlight w:val="magenta"/>
          <w:lang w:val="es-PE"/>
        </w:rPr>
        <w:t>Bajo el modelo de oralidad, seis de cada diez sentencias resistieron el examen superior y la reincidencia anulatoria descendió al 19,3 %.</w:t>
      </w:r>
      <w:commentRangeEnd w:id="15"/>
      <w:r>
        <w:rPr>
          <w:rStyle w:val="CommentReference"/>
        </w:rPr>
        <w:commentReference w:id="15"/>
      </w:r>
    </w:p>
    <w:p w14:paraId="69D82552" w14:textId="77777777" w:rsidR="004D0ADA" w:rsidRPr="000B3761" w:rsidRDefault="00000000" w:rsidP="000B3761">
      <w:pPr>
        <w:pStyle w:val="Prrafodelista"/>
        <w:numPr>
          <w:ilvl w:val="0"/>
          <w:numId w:val="3"/>
        </w:numPr>
        <w:jc w:val="both"/>
        <w:rPr>
          <w:lang w:val="es-PE"/>
        </w:rPr>
      </w:pPr>
      <w:commentRangeStart w:id="16"/>
      <w:r>
        <w:rPr>
          <w:highlight w:val="magenta"/>
          <w:lang w:val="es-PE"/>
        </w:rPr>
        <w:t>El control adverso se desplazó de la nulidad hacia la revocatoria: la anulación pasó del 80,6 % al 70,1 % de los pronunciamientos adversos y la revocatoria del 19,4 % al 29,9 % (Tabla 7), de modo que una porción creciente del control se resuelve sin reenvío.</w:t>
      </w:r>
      <w:commentRangeEnd w:id="16"/>
      <w:r>
        <w:rPr>
          <w:rStyle w:val="CommentReference"/>
        </w:rPr>
        <w:commentReference w:id="16"/>
      </w:r>
    </w:p>
    <w:p w14:paraId="241CB66C" w14:textId="77777777" w:rsidR="004D0ADA" w:rsidRPr="000B3761" w:rsidRDefault="00000000" w:rsidP="000B3761">
      <w:pPr>
        <w:pStyle w:val="Prrafodelista"/>
        <w:numPr>
          <w:ilvl w:val="0"/>
          <w:numId w:val="3"/>
        </w:numPr>
        <w:jc w:val="both"/>
        <w:rPr>
          <w:lang w:val="es-PE"/>
        </w:rPr>
      </w:pPr>
      <w:commentRangeStart w:id="17"/>
      <w:r>
        <w:rPr>
          <w:highlight w:val="magenta"/>
          <w:lang w:val="es-PE"/>
        </w:rPr>
        <w:t>Ninguna revocatoria, en ninguno de los dos períodos, se sustenta en un vicio de motivación (Tabla 10): el control motivacional se canaliza íntegramente por la vía de la nulidad.</w:t>
      </w:r>
      <w:commentRangeEnd w:id="17"/>
      <w:r>
        <w:rPr>
          <w:rStyle w:val="CommentReference"/>
        </w:rPr>
        <w:commentReference w:id="17"/>
      </w:r>
    </w:p>
    <w:p w14:paraId="7C8F1BD5" w14:textId="77777777" w:rsidR="004D0ADA" w:rsidRPr="000B3761" w:rsidRDefault="00000000" w:rsidP="000B3761">
      <w:pPr>
        <w:pStyle w:val="Prrafodelista"/>
        <w:numPr>
          <w:ilvl w:val="0"/>
          <w:numId w:val="3"/>
        </w:numPr>
        <w:jc w:val="both"/>
        <w:rPr>
          <w:lang w:val="es-PE"/>
        </w:rPr>
      </w:pPr>
      <w:commentRangeStart w:id="18"/>
      <w:r>
        <w:rPr>
          <w:highlight w:val="magenta"/>
          <w:lang w:val="es-PE"/>
        </w:rPr>
        <w:t>La concurrencia de vicios de motivación en una misma sentencia se mantiene estable (42,9 % y 43,2 %), lo que revela que la nulidad por defecto de motivación responde a un déficit acumulado y no a una falla puntual del razonamiento.</w:t>
      </w:r>
      <w:commentRangeEnd w:id="18"/>
      <w:r>
        <w:rPr>
          <w:rStyle w:val="CommentReference"/>
        </w:rPr>
        <w:commentReference w:id="18"/>
      </w:r>
    </w:p>
    <w:p w14:paraId="192BA8FA" w14:textId="77777777" w:rsidR="004D0ADA" w:rsidRPr="000B3761" w:rsidRDefault="00000000" w:rsidP="000B3761">
      <w:pPr>
        <w:jc w:val="both"/>
        <w:rPr>
          <w:lang w:val="es-PE"/>
        </w:rPr>
      </w:pPr>
      <w:r>
        <w:rPr>
          <w:lang w:val="es-PE"/>
        </w:rPr>
        <w:t xml:space="preserve">El diagnóstico identifica tres puntos donde la cadena procesal se interrumpe: la trazabilidad, cuando el saneamiento probatorio se consigna sin identificación individualizada del medio de prueba; </w:t>
      </w:r>
      <w:commentRangeStart w:id="19"/>
      <w:r>
        <w:rPr>
          <w:highlight w:val="yellow"/>
          <w:lang w:val="es-PE"/>
        </w:rPr>
        <w:t xml:space="preserve">la decisión, porque el modelo concentró el debate pero no el fallo, de modo que el tiempo ganado en audiencia se pierde parcialmente en la elaboración escrita posterior; y la alzada, cuyo método de trabajo permaneció ajeno a la reforma.</w:t>
      </w:r>
      <w:commentRangeEnd w:id="19"/>
      <w:r>
        <w:rPr>
          <w:rStyle w:val="CommentReference"/>
        </w:rPr>
        <w:commentReference w:id="19"/>
      </w:r>
    </w:p>
    <w:p w14:paraId="3AFE3631" w14:textId="77777777" w:rsidR="004D0ADA" w:rsidRPr="000B3761" w:rsidRDefault="00000000" w:rsidP="000B3761">
      <w:pPr>
        <w:pStyle w:val="Ttulo2"/>
        <w:jc w:val="both"/>
        <w:rPr>
          <w:lang w:val="es-PE"/>
        </w:rPr>
      </w:pPr>
      <w:r>
        <w:rPr>
          <w:lang w:val="es-PE"/>
        </w:rPr>
        <w:t>6. Aporte jurisprudencial</w:t>
      </w:r>
    </w:p>
    <w:p w14:paraId="4571D88E" w14:textId="77777777" w:rsidR="004D0ADA" w:rsidRPr="000B3761" w:rsidRDefault="00000000" w:rsidP="000B3761">
      <w:pPr>
        <w:jc w:val="both"/>
        <w:rPr>
          <w:lang w:val="es-PE"/>
        </w:rPr>
      </w:pPr>
      <w:commentRangeStart w:id="20"/>
      <w:r>
        <w:rPr>
          <w:highlight w:val="magenta"/>
          <w:lang w:val="es-PE"/>
        </w:rPr>
        <w:t xml:space="preserve">La investigación demuestra que la tipología de vicios de motivación de la </w:t>
      </w:r>
      <w:r>
        <w:rPr>
          <w:b/>
          <w:highlight w:val="magenta"/>
          <w:lang w:val="es-PE"/>
        </w:rPr>
        <w:t xml:space="preserve">STC 00728-2008-PHC/TC (caso Llamoja)</w:t>
      </w:r>
      <w:r>
        <w:rPr>
          <w:highlight w:val="magenta"/>
          <w:lang w:val="es-PE"/>
        </w:rPr>
        <w:t>, formulada en sede penal, es trasladable al proceso civil sin pérdida de capacidad discriminante. Aplicada a los seis supuestos completos, a) a f), permitió distinguir la motivación inexistente o aparente, la falta de motivación interna, la deficiencia en la motivación externa, la motivación insuficiente y la motivación sustancialmente incongruente, y fue esa capacidad la que hizo visible el desplazamiento del vicio entre períodos. El supuesto f), motivación cualificada, no registró casos en ninguno de los dos períodos, resultado congruente con la naturaleza de las materias civiles ordinarias examinadas.</w:t>
      </w:r>
      <w:commentRangeEnd w:id="20"/>
      <w:r>
        <w:rPr>
          <w:rStyle w:val="CommentReference"/>
        </w:rPr>
        <w:commentReference w:id="20"/>
      </w:r>
    </w:p>
    <w:p w14:paraId="3B8DA8DC" w14:textId="77777777" w:rsidR="004D0ADA" w:rsidRPr="000B3761" w:rsidRDefault="00000000" w:rsidP="000B3761">
      <w:pPr>
        <w:jc w:val="both"/>
        <w:rPr>
          <w:lang w:val="es-PE"/>
        </w:rPr>
      </w:pPr>
      <w:commentRangeStart w:id="21"/>
      <w:r>
        <w:rPr>
          <w:highlight w:val="yellow"/>
          <w:lang w:val="es-PE"/>
        </w:rPr>
        <w:t>La investigación aporta además la constatación de que, en el período de oralidad, los Plenos Casatorios operan como criterios decisorios efectivamente aplicados —el IV Pleno en desalojo por ocupación precaria, el IX Pleno en otorgamiento de escritura pública, el II Pleno en prescripción adquisitiva y el X Pleno en valoración de la prueba y saneamiento probatorio—, mientras que la omisión de una regla vinculante, presente en un expediente del período escritural, desaparece del período de oralidad.</w:t>
      </w:r>
      <w:commentRangeEnd w:id="21"/>
      <w:r>
        <w:rPr>
          <w:rStyle w:val="CommentReference"/>
        </w:rPr>
        <w:commentReference w:id="21"/>
      </w:r>
    </w:p>
    <w:p w14:paraId="4493E1A1" w14:textId="77777777" w:rsidR="004D0ADA" w:rsidRPr="000B3761" w:rsidRDefault="00000000" w:rsidP="000B3761">
      <w:pPr>
        <w:jc w:val="both"/>
        <w:rPr>
          <w:lang w:val="es-PE"/>
        </w:rPr>
      </w:pPr>
      <w:commentRangeStart w:id="22"/>
      <w:r>
        <w:rPr>
          <w:highlight w:val="magenta"/>
          <w:lang w:val="es-PE"/>
        </w:rPr>
        <w:t xml:space="preserve">Respecto de la </w:t>
      </w:r>
      <w:r>
        <w:rPr>
          <w:b/>
          <w:highlight w:val="magenta"/>
          <w:lang w:val="es-PE"/>
        </w:rPr>
        <w:t>STC 3509-2009-PHC/TC</w:t>
      </w:r>
      <w:r>
        <w:rPr>
          <w:highlight w:val="magenta"/>
          <w:lang w:val="es-PE"/>
        </w:rPr>
        <w:t>, la investigación aporta un dato que la doctrina había advertido solo en clave propositiva: la ganancia en plazo razonable que produce un modelo de oralidad no proviene de acelerar el control de segunda instancia, que conserva casi la misma duración media, sino de reducir la probabilidad de que el proceso deba recorrerlo más de una vez. El descenso de la reincidencia anulatoria del 48,8 % al 19,3 % es la variable efectivamente sensible a la actuación del órgano jurisdiccional.</w:t>
      </w:r>
      <w:commentRangeEnd w:id="22"/>
      <w:r>
        <w:rPr>
          <w:rStyle w:val="CommentReference"/>
        </w:rPr>
        <w:commentReference w:id="22"/>
      </w:r>
    </w:p>
    <w:p w14:paraId="7843B1EE" w14:textId="77777777" w:rsidR="004D0ADA" w:rsidRPr="000B3761" w:rsidRDefault="00000000" w:rsidP="000B3761">
      <w:pPr>
        <w:pStyle w:val="Ttulo2"/>
        <w:jc w:val="both"/>
        <w:rPr>
          <w:lang w:val="es-PE"/>
        </w:rPr>
      </w:pPr>
      <w:r>
        <w:rPr>
          <w:lang w:val="es-PE"/>
        </w:rPr>
        <w:lastRenderedPageBreak/>
        <w:t>7. Aporte normativo o propositivo</w:t>
      </w:r>
    </w:p>
    <w:p w14:paraId="580DEC7F" w14:textId="77777777" w:rsidR="004D0ADA" w:rsidRPr="000B3761" w:rsidRDefault="00000000" w:rsidP="000B3761">
      <w:pPr>
        <w:jc w:val="both"/>
        <w:rPr>
          <w:lang w:val="es-PE"/>
        </w:rPr>
      </w:pPr>
      <w:commentRangeStart w:id="23"/>
      <w:r>
        <w:rPr>
          <w:highlight w:val="yellow"/>
          <w:lang w:val="es-PE"/>
        </w:rPr>
        <w:t>La investigación sustenta empíricamente la conveniencia de incorporar al Código Procesal Civil las reglas esenciales del modelo de litigación oral, hoy contenidas en resoluciones administrativas del Consejo Ejecutivo del Poder Judicial. La razón no es formal: las sentencias del período de oralidad casi nunca invocan la R. A. N.º 312-2018-CE-PJ ni la R. A. N.º 049-2020-CE-PJ, de modo que el modelo carece de exigibilidad procesal por las partes y de parámetro expreso de control por el superior.</w:t>
      </w:r>
      <w:commentRangeEnd w:id="23"/>
      <w:r>
        <w:rPr>
          <w:rStyle w:val="CommentReference"/>
        </w:rPr>
        <w:commentReference w:id="23"/>
      </w:r>
    </w:p>
    <w:p w14:paraId="2936B9DA" w14:textId="77777777" w:rsidR="004D0ADA" w:rsidRPr="000B3761" w:rsidRDefault="00000000" w:rsidP="000B3761">
      <w:pPr>
        <w:jc w:val="both"/>
        <w:rPr>
          <w:lang w:val="es-PE"/>
        </w:rPr>
      </w:pPr>
      <w:r>
        <w:rPr>
          <w:lang w:val="es-PE"/>
        </w:rPr>
        <w:t>La propuesta comprende tres contenidos concretos, derivados de los tres puntos de interrupción diagnosticados:</w:t>
      </w:r>
    </w:p>
    <w:p w14:paraId="3384A162" w14:textId="77777777" w:rsidR="004D0ADA" w:rsidRPr="000B3761" w:rsidRDefault="00000000" w:rsidP="000B3761">
      <w:pPr>
        <w:pStyle w:val="Prrafodelista"/>
        <w:numPr>
          <w:ilvl w:val="0"/>
          <w:numId w:val="4"/>
        </w:numPr>
        <w:jc w:val="both"/>
        <w:rPr>
          <w:lang w:val="es-PE"/>
        </w:rPr>
      </w:pPr>
      <w:commentRangeStart w:id="24"/>
      <w:r>
        <w:rPr>
          <w:b/>
          <w:highlight w:val="yellow"/>
          <w:lang w:val="es-PE"/>
        </w:rPr>
        <w:t>Regulación legal de la audiencia preliminar</w:t>
      </w:r>
      <w:r>
        <w:rPr>
          <w:highlight w:val="yellow"/>
          <w:lang w:val="es-PE"/>
        </w:rPr>
        <w:t xml:space="preserve">, con la secuencia de saneamiento procesal, fijación de puntos controvertidos, fijación de hechos no controvertidos, admisión de medios probatorios y convenciones probatorias como actos concentrados en un solo acto procesal.</w:t>
      </w:r>
      <w:commentRangeEnd w:id="24"/>
      <w:r>
        <w:rPr>
          <w:rStyle w:val="CommentReference"/>
        </w:rPr>
        <w:commentReference w:id="24"/>
      </w:r>
    </w:p>
    <w:p w14:paraId="0230077E" w14:textId="77777777" w:rsidR="004D0ADA" w:rsidRPr="000B3761" w:rsidRDefault="00000000" w:rsidP="000B3761">
      <w:pPr>
        <w:pStyle w:val="Prrafodelista"/>
        <w:numPr>
          <w:ilvl w:val="0"/>
          <w:numId w:val="4"/>
        </w:numPr>
        <w:jc w:val="both"/>
        <w:rPr>
          <w:lang w:val="es-PE"/>
        </w:rPr>
      </w:pPr>
      <w:r>
        <w:rPr>
          <w:b/>
          <w:lang w:val="es-PE"/>
        </w:rPr>
        <w:t>Estándar de trazabilidad probatoria</w:t>
      </w:r>
      <w:r>
        <w:rPr>
          <w:lang w:val="es-PE"/>
        </w:rPr>
        <w:t>, consistente en la identificación individualizada, en el acta de audiencia, de cada medio de prueba admitido o rechazado, con expresión de la razón del rechazo, como condición de posibilidad del control ulterior de la concordancia entre lo saneado y lo valorado.</w:t>
      </w:r>
    </w:p>
    <w:p w14:paraId="079C2CEA" w14:textId="77777777" w:rsidR="004D0ADA" w:rsidRPr="000B3761" w:rsidRDefault="00000000" w:rsidP="000B3761">
      <w:pPr>
        <w:pStyle w:val="Prrafodelista"/>
        <w:numPr>
          <w:ilvl w:val="0"/>
          <w:numId w:val="4"/>
        </w:numPr>
        <w:jc w:val="both"/>
        <w:rPr>
          <w:lang w:val="es-PE"/>
        </w:rPr>
      </w:pPr>
      <w:commentRangeStart w:id="25"/>
      <w:r>
        <w:rPr>
          <w:b/>
          <w:highlight w:val="yellow"/>
          <w:lang w:val="es-PE"/>
        </w:rPr>
        <w:t>Adecuación del trámite de la alzada a la estructura oral de la instancia</w:t>
      </w:r>
      <w:r>
        <w:rPr>
          <w:highlight w:val="yellow"/>
          <w:lang w:val="es-PE"/>
        </w:rPr>
        <w:t>, de modo que la segunda instancia deje de ser el tramo del proceso ajeno al efecto de la reforma.</w:t>
      </w:r>
      <w:commentRangeEnd w:id="25"/>
      <w:r>
        <w:rPr>
          <w:rStyle w:val="CommentReference"/>
        </w:rPr>
        <w:commentReference w:id="25"/>
      </w:r>
    </w:p>
    <w:p w14:paraId="0D73D312" w14:textId="77777777" w:rsidR="004D0ADA" w:rsidRPr="000B3761" w:rsidRDefault="00000000" w:rsidP="000B3761">
      <w:pPr>
        <w:pStyle w:val="Ttulo2"/>
        <w:jc w:val="both"/>
        <w:rPr>
          <w:lang w:val="es-PE"/>
        </w:rPr>
      </w:pPr>
      <w:r>
        <w:rPr>
          <w:lang w:val="es-PE"/>
        </w:rPr>
        <w:t>8. Aporte práctico, tecnológico y de gestión judicial</w:t>
      </w:r>
    </w:p>
    <w:p w14:paraId="2F751DA4" w14:textId="77777777" w:rsidR="004D0ADA" w:rsidRPr="000B3761" w:rsidRDefault="00000000" w:rsidP="000B3761">
      <w:pPr>
        <w:jc w:val="both"/>
        <w:rPr>
          <w:lang w:val="es-PE"/>
        </w:rPr>
      </w:pPr>
      <w:r>
        <w:rPr>
          <w:lang w:val="es-PE"/>
        </w:rPr>
        <w:t xml:space="preserve">En el plano de la gestión, </w:t>
      </w:r>
      <w:commentRangeStart w:id="26"/>
      <w:r>
        <w:rPr>
          <w:highlight w:val="yellow"/>
          <w:lang w:val="es-PE"/>
        </w:rPr>
        <w:t xml:space="preserve">la investigación acredita que la concentración procesal es un producto de protocolo y supervisión antes que un efecto doctrinal abstracto</w:t>
      </w:r>
      <w:commentRangeEnd w:id="26"/>
      <w:r>
        <w:rPr>
          <w:rStyle w:val="CommentReference"/>
        </w:rPr>
        <w:commentReference w:id="26"/>
      </w:r>
      <w:r>
        <w:rPr>
          <w:lang w:val="es-PE"/>
        </w:rPr>
        <w:t xml:space="preserve">, lo que permite a la Presidencia de la Corte Superior y a la Unidad de Gestión del Módulo intervenir sobre variables controlables: el diseño del acta de audiencia, la individualización del saneamiento probatorio y el seguimiento del porcentaje de concordancia entre lo saneado y lo valorado.</w:t>
      </w:r>
    </w:p>
    <w:p w14:paraId="3AFEEB71" w14:textId="77777777" w:rsidR="004D0ADA" w:rsidRPr="000B3761" w:rsidRDefault="00000000" w:rsidP="000B3761">
      <w:pPr>
        <w:jc w:val="both"/>
        <w:rPr>
          <w:lang w:val="es-PE"/>
        </w:rPr>
      </w:pPr>
      <w:commentRangeStart w:id="27"/>
      <w:r>
        <w:rPr>
          <w:highlight w:val="magenta"/>
          <w:lang w:val="es-PE"/>
        </w:rPr>
        <w:t>La evidencia aporta además un argumento verificable frente a la objeción intuitiva de que la decisión oral degradaría la calidad del razonamiento: ninguno de los once expedientes con sentencia expedida dentro de la audiencia fue anulado por defecto de motivación. El dato, de base reducida y por ello no concluyente, permite sostener que la extensión de esa práctica no compromete la debida motivación.</w:t>
      </w:r>
      <w:commentRangeEnd w:id="27"/>
      <w:r>
        <w:rPr>
          <w:rStyle w:val="CommentReference"/>
        </w:rPr>
        <w:commentReference w:id="27"/>
      </w:r>
    </w:p>
    <w:p w14:paraId="609B1B7D" w14:textId="4CDF722E" w:rsidR="004D0ADA" w:rsidRPr="000B3761" w:rsidRDefault="00000000" w:rsidP="000B3761">
      <w:pPr>
        <w:jc w:val="both"/>
        <w:rPr>
          <w:lang w:val="es-PE"/>
        </w:rPr>
      </w:pPr>
      <w:r>
        <w:rPr>
          <w:lang w:val="es-PE"/>
        </w:rPr>
        <w:t xml:space="preserve">Aporte metodológico. El estudio ofrece un instrumento replicable la ficha de análisis documental con secciones de concentración, saneamiento, motivación y control de segunda instancia que permite comparar con las mismas categorías expedientes de cualquier distrito judicial que haya adoptado el modelo. </w:t>
      </w:r>
      <w:commentRangeStart w:id="28"/>
      <w:r>
        <w:rPr>
          <w:highlight w:val="yellow"/>
          <w:lang w:val="es-PE"/>
        </w:rPr>
        <w:t xml:space="preserve">La verificación previa de la comparabilidad sustancial del corpus por materia, vía procesal y resultado de primera instancia (Tabla 1) constituye un procedimiento de control transferible</w:t>
      </w:r>
      <w:commentRangeEnd w:id="28"/>
      <w:r>
        <w:rPr>
          <w:rStyle w:val="CommentReference"/>
        </w:rPr>
        <w:commentReference w:id="28"/>
      </w:r>
      <w:r>
        <w:rPr>
          <w:lang w:val="es-PE"/>
        </w:rPr>
        <w:t xml:space="preserve"> a investigaciones de diseño similar, donde el riesgo habitual consiste en comparar grupos heterogéneos y atribuir a la reforma diferencias que obedecen a la composición de la muestra.</w:t>
      </w:r>
    </w:p>
    <w:p w14:paraId="397A6CDE" w14:textId="77777777" w:rsidR="004D0ADA" w:rsidRPr="000B3761" w:rsidRDefault="00000000" w:rsidP="000B3761">
      <w:pPr>
        <w:jc w:val="both"/>
        <w:rPr>
          <w:lang w:val="es-PE"/>
        </w:rPr>
      </w:pPr>
      <w:r>
        <w:rPr>
          <w:lang w:val="es-PE"/>
        </w:rPr>
        <w:t xml:space="preserve">Aporte a la metodología de la discusión jurídica. La triangulación de fuentes empíricas, normativas, doctrinales y jurisprudenciales, sintetizada en la matriz de Denzin </w:t>
      </w:r>
      <w:commentRangeStart w:id="29"/>
      <w:r>
        <w:rPr>
          <w:highlight w:val="cyan"/>
          <w:lang w:val="es-PE"/>
        </w:rPr>
        <w:t xml:space="preserve">(Tabla 15)</w:t>
      </w:r>
      <w:commentRangeEnd w:id="29"/>
      <w:r>
        <w:rPr>
          <w:rStyle w:val="CommentReference"/>
        </w:rPr>
        <w:commentReference w:id="29"/>
      </w:r>
      <w:r>
        <w:rPr>
          <w:lang w:val="es-PE"/>
        </w:rPr>
        <w:t xml:space="preserve">, ofrece un modelo de discusión que no se limita a contrastar cifras con antecedentes, sino que reconstruye el estatuto epistemológico de las categorías jurídicas involucradas —motivación, inmediación, concentración, plazo razonable—, mostrando en qué medida cada una resulta verificable en el texto de una resolución judicial y en qué medida permanece como postulado normativo no realizado.</w:t>
      </w:r>
    </w:p>
    <w:p w14:paraId="28AF4E0D" w14:textId="77777777" w:rsidR="004D0ADA" w:rsidRPr="000B3761" w:rsidRDefault="00000000" w:rsidP="000B3761">
      <w:pPr>
        <w:pStyle w:val="Ttulo2"/>
        <w:jc w:val="both"/>
        <w:rPr>
          <w:lang w:val="es-PE"/>
        </w:rPr>
      </w:pPr>
      <w:r>
        <w:rPr>
          <w:lang w:val="es-PE"/>
        </w:rPr>
        <w:lastRenderedPageBreak/>
        <w:t>9. Síntesis del aporte científico-jurídico</w:t>
      </w:r>
    </w:p>
    <w:p w14:paraId="6852148C" w14:textId="77777777" w:rsidR="004D0ADA" w:rsidRPr="000B3761" w:rsidRDefault="00000000" w:rsidP="000B3761">
      <w:pPr>
        <w:jc w:val="both"/>
        <w:rPr>
          <w:lang w:val="es-PE"/>
        </w:rPr>
      </w:pPr>
      <w:commentRangeStart w:id="30"/>
      <w:r>
        <w:rPr>
          <w:highlight w:val="magenta"/>
          <w:lang w:val="es-PE"/>
        </w:rPr>
        <w:t>Mi investigación demuestra que el Modelo de Oralidad Civil implementado en los Juzgados Civiles de la Sede Central de Arequipa produce una efectividad positiva pero diferenciada: transforma la gestión del proceso —la concentración pasa del 20,9 % al 77,2 %— y eleva la estabilidad de la sentencia —la confirmación asciende del 2,9 % al 60,0 % y la reincidencia anulatoria desciende del 48,8 % al 19,3 %—, pero no reduce de manera uniforme el defecto de motivación, que cambia de naturaleza en lugar de disminuir, ni acorta el control de segunda instancia, cuya duración media permanece prácticamente invariable.</w:t>
      </w:r>
      <w:commentRangeEnd w:id="30"/>
      <w:r>
        <w:rPr>
          <w:rStyle w:val="CommentReference"/>
        </w:rPr>
        <w:commentReference w:id="30"/>
      </w:r>
    </w:p>
    <w:p w14:paraId="2FEB382B" w14:textId="3F1CA668" w:rsidR="004D0ADA" w:rsidRPr="000B3761" w:rsidRDefault="00000000" w:rsidP="000B3761">
      <w:pPr>
        <w:jc w:val="both"/>
        <w:rPr>
          <w:lang w:val="es-PE"/>
        </w:rPr>
      </w:pPr>
      <w:r>
        <w:rPr>
          <w:lang w:val="es-PE"/>
        </w:rPr>
        <w:t xml:space="preserve">Esto es jurídicamente importante porque obliga a distinguir la vigencia de un principio procesal de su eficacia operativa, y porque sitúa el margen de mejora pendiente en un acto procesal preciso </w:t>
      </w:r>
      <w:commentRangeStart w:id="31"/>
      <w:r>
        <w:rPr>
          <w:highlight w:val="yellow"/>
          <w:lang w:val="es-PE"/>
        </w:rPr>
        <w:t xml:space="preserve">la individualización del saneamiento probatorio y la justificación externa de las premisas</w:t>
      </w:r>
      <w:commentRangeEnd w:id="31"/>
      <w:r>
        <w:rPr>
          <w:rStyle w:val="CommentReference"/>
        </w:rPr>
        <w:commentReference w:id="31"/>
      </w:r>
      <w:r>
        <w:rPr>
          <w:lang w:val="es-PE"/>
        </w:rPr>
        <w:t xml:space="preserve"> en lugar de atribuir genéricamente la demora y el defecto de motivación a la carga procesal.</w:t>
      </w:r>
    </w:p>
    <w:p w14:paraId="6DD6A661" w14:textId="77777777" w:rsidR="004D0ADA" w:rsidRPr="000B3761" w:rsidRDefault="00000000" w:rsidP="000B3761">
      <w:pPr>
        <w:jc w:val="both"/>
        <w:rPr>
          <w:lang w:val="es-PE"/>
        </w:rPr>
      </w:pPr>
      <w:commentRangeStart w:id="32"/>
      <w:r>
        <w:rPr>
          <w:highlight w:val="yellow"/>
          <w:lang w:val="es-PE"/>
        </w:rPr>
        <w:t xml:space="preserve">Mi aporte científico-jurídico consiste en delimitar la categoría de trazabilidad procesal y en acreditarla empíricamente como la variable que explica el efecto del modelo sobre la sentencia; en demostrar que la tipología de vicios de motivación del caso Llamoja es trasladable al proceso civil y que su aplicación revela un desplazamiento del vicio desde la incongruencia hacia la justificación externa; y en ofrecer un instrumento de análisis documental replicable, con un procedimiento de control de comparabilidad del corpus, que permite medir el mismo efecto en cualquier distrito judicial que haya adoptado el modelo.</w:t>
      </w:r>
      <w:commentRangeEnd w:id="32"/>
      <w:r>
        <w:rPr>
          <w:rStyle w:val="CommentReference"/>
        </w:rPr>
        <w:commentReference w:id="32"/>
      </w:r>
    </w:p>
    <w:p w14:paraId="5EB9D27E" w14:textId="77777777" w:rsidR="004D0ADA" w:rsidRPr="000B3761" w:rsidRDefault="00000000" w:rsidP="000B3761">
      <w:pPr>
        <w:pStyle w:val="Ttulo1"/>
        <w:jc w:val="both"/>
        <w:rPr>
          <w:lang w:val="es-PE"/>
        </w:rPr>
      </w:pPr>
      <w:r>
        <w:rPr>
          <w:lang w:val="es-PE"/>
        </w:rPr>
        <w:t>II. CONCLUSIONES</w:t>
      </w:r>
    </w:p>
    <w:p w14:paraId="7C684B3E" w14:textId="77777777" w:rsidR="00190C32" w:rsidRPr="00190C32" w:rsidRDefault="00190C32" w:rsidP="00D879CA">
      <w:pPr>
        <w:spacing w:after="361"/>
        <w:ind w:left="-5"/>
        <w:jc w:val="both"/>
        <w:rPr>
          <w:lang w:val="es-PE"/>
        </w:rPr>
      </w:pPr>
      <w:commentRangeStart w:id="33"/>
      <w:r>
        <w:rPr>
          <w:highlight w:val="magenta"/>
          <w:lang w:val="es-PE"/>
        </w:rPr>
        <w:t xml:space="preserve">El Modelo de Oralidad Civil implementado en los Juzgados Civiles de la Sede Central de Arequipa logró hacer operativo el principio de concentración, pero no con la misma intensidad los demás componentes del modelo. El saneamiento procesal, la fijación de puntos controvertidos y la admisión de medios probatorios en un solo acto pasaron del 20,9 % al 77,2 %. En cambio, la fijación expresa de hechos no controvertidos solo alcanzó el 17,5 %, la sentencia expedida en audiencia el 19,3 %, la lectura oral del sentido del fallo el 7,0 % Como estos principios rigen desde 1993 en el Título Preliminar del Código Procesal Civil, el avance no se debe a un cambio del texto legal. Se debe al protocolo de audiencia y a la dirección judicial previstos en la R. A. N.º 049-2020-CE-PJ.  </w:t>
      </w:r>
      <w:commentRangeEnd w:id="33"/>
      <w:r>
        <w:rPr>
          <w:rStyle w:val="CommentReference"/>
        </w:rPr>
        <w:commentReference w:id="33"/>
      </w:r>
    </w:p>
    <w:p w14:paraId="481B93B1" w14:textId="77777777" w:rsidR="00190C32" w:rsidRPr="00190C32" w:rsidRDefault="00190C32" w:rsidP="00D879CA">
      <w:pPr>
        <w:spacing w:after="360"/>
        <w:ind w:left="-5"/>
        <w:jc w:val="both"/>
        <w:rPr>
          <w:lang w:val="es-PE"/>
        </w:rPr>
      </w:pPr>
      <w:commentRangeStart w:id="34"/>
      <w:r>
        <w:rPr>
          <w:highlight w:val="magenta"/>
          <w:lang w:val="es-PE"/>
        </w:rPr>
        <w:t xml:space="preserve">El modelo produjo una transformación real pero asimétrica, sentencias emitidas bajo el modelo presentan mejor justificación interna y mejor encuadre del razonamiento, pero el defecto de motivación no desaparece: cambia de naturaleza. Disminuyeron la falta de motivación interna, la prueba admitida no actuada, la prueba de oficio sin contradictorio y la omisión de regla vinculante. En las sentencias de vista anuladas por vicio de motivación, la deficiencia en la motivación externa subió del 19,0 % al 40,5 %, mientras que la motivación sustancialmente incongruente bajó del 42,9 % al 24,3 %. Además, la omisión de valoración de prueba admitida o decisiva subió del 1,8 % al 9,3 %. </w:t>
      </w:r>
      <w:commentRangeEnd w:id="34"/>
      <w:r>
        <w:rPr>
          <w:rStyle w:val="CommentReference"/>
        </w:rPr>
        <w:commentReference w:id="34"/>
      </w:r>
    </w:p>
    <w:p w14:paraId="64FDC50A" w14:textId="77777777" w:rsidR="00190C32" w:rsidRPr="00190C32" w:rsidRDefault="00190C32" w:rsidP="00D879CA">
      <w:pPr>
        <w:spacing w:after="457"/>
        <w:ind w:left="-5"/>
        <w:jc w:val="both"/>
        <w:rPr>
          <w:lang w:val="es-PE"/>
        </w:rPr>
      </w:pPr>
      <w:commentRangeStart w:id="35"/>
      <w:r>
        <w:rPr>
          <w:highlight w:val="yellow"/>
          <w:lang w:val="es-PE"/>
        </w:rPr>
        <w:t xml:space="preserve">Las sentencias bajo el modelo resisten más el control de segunda instancia, pero sin una reducción pareja de los defectos declarados por el superior. La anulación más revocación, descendió del 34,5 % al 27,4 %: la confirmación ascendió del 65,5 % al 72,6 % y la revocación descendió del 12,8 % al 7,3 %, mientras la anulación se mantuvo prácticamente estable (21,7 % y 20,1 %). No obstante, bajaron la falta de motivación </w:t>
        <w:lastRenderedPageBreak/>
        <w:t>interna, la prueba admitida no actuada, la prueba de oficio sin contradictorio, la omisión de regla vinculante y la falta de incorporación del litisconsorte necesario, pero subieron la motivación inexistente o aparente, la deficiencia de motivación externa, la motivación insuficiente, la omisión de valoración de prueba decisiva y la nulidad concatenada. Sin embargo, la duración media del trámite de apelación se mantuvo prácticamente igual (318,6 y 313,3 días), porque la reforma se aplicó a la primera instancia y no cambió el método de trabajo de las Salas</w:t>
      </w:r>
      <w:commentRangeEnd w:id="35"/>
      <w:r>
        <w:rPr>
          <w:rStyle w:val="CommentReference"/>
        </w:rPr>
        <w:commentReference w:id="35"/>
      </w:r>
    </w:p>
    <w:p w14:paraId="3C1C1B30" w14:textId="7F57E512" w:rsidR="004D0ADA" w:rsidRPr="000B3761" w:rsidRDefault="00000000" w:rsidP="00D879CA">
      <w:pPr>
        <w:pStyle w:val="Ttulo1"/>
        <w:jc w:val="both"/>
        <w:rPr>
          <w:lang w:val="es-PE"/>
        </w:rPr>
      </w:pPr>
      <w:r>
        <w:rPr>
          <w:lang w:val="es-PE"/>
        </w:rPr>
        <w:t>III. RECOMENDACIONES</w:t>
      </w:r>
    </w:p>
    <w:p w14:paraId="21235F2C" w14:textId="77777777" w:rsidR="00190C32" w:rsidRPr="00190C32" w:rsidRDefault="00190C32" w:rsidP="00D879CA">
      <w:pPr>
        <w:ind w:left="-5"/>
        <w:jc w:val="both"/>
        <w:rPr>
          <w:lang w:val="es-PE"/>
        </w:rPr>
      </w:pPr>
      <w:commentRangeStart w:id="36"/>
      <w:r>
        <w:rPr>
          <w:highlight w:val="yellow"/>
          <w:lang w:val="es-PE"/>
        </w:rPr>
        <w:t xml:space="preserve">Se recomienda al Consejo Ejecutivo del Poder Judicial promover, a través de la Comisión de Trabajo correspondiente y de la iniciativa legislativa del Poder Judicial, la incorporación al Código Procesal Civil de las reglas esenciales del Módulo Civil Corporativo de Litigación Oral hoy contenidas en la R. A. N.º 3122018-CE-PJ y en la R. A. N.º 049-2020-CE-PJ, comprendiendo la regulación de la audiencia preliminar y la secuencia concentrada de saneamiento procesal, fijación de puntos controvertidos, fijación de hechos no controvertidos, admisión de medios probatorios y convenciones probatorias. La finalidad es dotar al modelo de exigibilidad procesal por las partes y de parámetro expreso de control por el órgano superior, superando su actual condición de práctica de gestión interiorizada que las sentencias casi nunca invocan. </w:t>
      </w:r>
      <w:commentRangeEnd w:id="36"/>
      <w:r>
        <w:rPr>
          <w:rStyle w:val="CommentReference"/>
        </w:rPr>
        <w:commentReference w:id="36"/>
      </w:r>
    </w:p>
    <w:p w14:paraId="6506E623" w14:textId="77777777" w:rsidR="00190C32" w:rsidRPr="00190C32" w:rsidRDefault="00190C32" w:rsidP="00D879CA">
      <w:pPr>
        <w:ind w:left="-5"/>
        <w:jc w:val="both"/>
        <w:rPr>
          <w:lang w:val="es-PE"/>
        </w:rPr>
      </w:pPr>
      <w:commentRangeStart w:id="37"/>
      <w:r>
        <w:rPr>
          <w:highlight w:val="cyan"/>
          <w:lang w:val="es-PE"/>
        </w:rPr>
        <w:t xml:space="preserve">Se recomienda a la Presidencia de la Corte Superior de Justicia de Arequipa y a la Unidad de Gestión del Módulo Civil Corporativo de Litigación Oral implementar un protocolo estandarizado de acta de audiencia preliminar. El protocolo debe exigir la identificación individualizada de cada medio de prueba admitido o rechazado, con la razón del rechazo. También debe registrar en apartados propios los hechos no controvertidos y las convenciones probatorias celebradas. Se ejecutará mediante la modificación del formato de acta en el sistema informático y una directiva obligatoria para los juzgados de la Sede Central. Se complementará con capacitación conjunta a jueces y abogados, en coordinación con el Colegio de Abogados de Arequipa. La finalidad es asegurar la trazabilidad entre lo saneado y lo valorado, y elevar el uso de instituciones que hoy son marginales. El indicador será el porcentaje anual de expedientes con hechos no controvertidos fijados. </w:t>
      </w:r>
      <w:commentRangeEnd w:id="37"/>
      <w:r>
        <w:rPr>
          <w:rStyle w:val="CommentReference"/>
        </w:rPr>
        <w:commentReference w:id="37"/>
      </w:r>
    </w:p>
    <w:p w14:paraId="54B7ADAC" w14:textId="77777777" w:rsidR="00190C32" w:rsidRPr="00190C32" w:rsidRDefault="00190C32" w:rsidP="00D879CA">
      <w:pPr>
        <w:ind w:left="-5"/>
        <w:jc w:val="both"/>
        <w:rPr>
          <w:lang w:val="es-PE"/>
        </w:rPr>
      </w:pPr>
      <w:r>
        <w:rPr>
          <w:lang w:val="es-PE"/>
        </w:rPr>
        <w:t xml:space="preserve">Se recomienda al Consejo Ejecutivo del Poder Judicial adecuar el trámite del recurso de apelación a la estructura oral de la primera instancia, mediante la regulación de una vista de la causa con debate concentrado sobre los agravios y plazo determinado para la emisión de la sentencia de vista. La finalidad es corregir el desajuste entre la oralidad de instancia y sistema tradicional, tramo cuya duración media permaneció invariable y </w:t>
      </w:r>
      <w:commentRangeStart w:id="38"/>
      <w:r>
        <w:rPr>
          <w:highlight w:val="yellow"/>
          <w:lang w:val="es-PE"/>
        </w:rPr>
        <w:t xml:space="preserve">que constituye el cuello de botella pendiente del modelo</w:t>
      </w:r>
      <w:commentRangeEnd w:id="38"/>
      <w:r>
        <w:rPr>
          <w:rStyle w:val="CommentReference"/>
        </w:rPr>
        <w:commentReference w:id="38"/>
      </w:r>
      <w:r>
        <w:rPr>
          <w:lang w:val="es-PE"/>
        </w:rPr>
        <w:t xml:space="preserve">. El indicador verificable es la «duración media en días entre la concesión del recurso y la notificación de la sentencia de vista», con medición semestral y meta de reducción progresiva. </w:t>
      </w:r>
    </w:p>
    <w:p w14:paraId="2AED184A" w14:textId="6CF22932" w:rsidR="004D0ADA" w:rsidRPr="000B3761" w:rsidRDefault="004D0ADA" w:rsidP="00190C32">
      <w:pPr>
        <w:jc w:val="both"/>
        <w:rPr>
          <w:lang w:val="es-PE"/>
        </w:rPr>
      </w:pPr>
    </w:p>
    <w:sectPr w:rsidR="004D0ADA" w:rsidRPr="000B3761">
      <w:pgSz w:w="12240" w:h="15840"/>
      <w:pgMar w:top="1440" w:right="1440" w:bottom="1440" w:left="1440" w:header="720" w:footer="720" w:gutter="0"/>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ón de coherencia" w:initials="RC" w:date="2026-09-29T11:41:08Z">
    <w:p>
      <w:pPr>
        <w:pStyle w:val="CommentText"/>
      </w:pPr>
      <w:r>
        <w:rPr>
          <w:rStyle w:val="CommentReference"/>
        </w:rPr>
        <w:annotationRef/>
      </w:r>
      <w:r>
        <w:rPr>
          <w:b/>
        </w:rPr>
        <w:t>LEYENDA — APORTES, CONCLUSIONES Y RECOMENDACIONES: 38 marcas</w:t>
      </w:r>
    </w:p>
    <w:p>
      <w:pPr>
        <w:pStyle w:val="CommentText"/>
      </w:pPr>
      <w:r>
        <w:t>Rosado = CIFRA desactualizada o que no coincide con el Cap. VI / Excel.</w:t>
      </w:r>
    </w:p>
    <w:p>
      <w:pPr>
        <w:pStyle w:val="CommentText"/>
      </w:pPr>
      <w:r>
        <w:t>Amarillo = INTERPRETACIÓN que contradice a otro documento o excede los datos.</w:t>
      </w:r>
    </w:p>
    <w:p>
      <w:pPr>
        <w:pStyle w:val="CommentText"/>
      </w:pPr>
      <w:r>
        <w:t>Turquesa = FORMA (numeración, remisiones, redacción).</w:t>
      </w:r>
    </w:p>
    <w:p>
      <w:pPr>
        <w:pStyle w:val="CommentText"/>
      </w:pPr>
      <w:r>
        <w:t>Cada comentario indica: problema, a qué contradice y texto sugerido. El detalle completo y la propuesta de recomendaciones están en INFORME_COHERENCIA_Y_PROPUESTA_RECOMENDACIONES.docx.</w:t>
      </w:r>
    </w:p>
  </w:comment>
  <w:comment w:id="1" w:author="Revisión de coherencia" w:initials="RC" w:date="2026-09-29T11:41:08Z">
    <w:p>
      <w:pPr>
        <w:pStyle w:val="CommentText"/>
      </w:pPr>
      <w:r>
        <w:rPr>
          <w:rStyle w:val="CommentReference"/>
        </w:rPr>
        <w:annotationRef/>
      </w:r>
      <w:r>
        <w:rPr>
          <w:b/>
        </w:rPr>
        <w:t>[A-01] CIFRA · I.1, primer párrafo</w:t>
      </w:r>
    </w:p>
    <w:p>
      <w:pPr>
        <w:pStyle w:val="CommentText"/>
      </w:pPr>
      <w:r>
        <w:rPr>
          <w:b/>
        </w:rPr>
        <w:t xml:space="preserve">Problema: </w:t>
      </w:r>
      <w:r>
        <w:t>Son las cifras del corpus anterior.</w:t>
      </w:r>
    </w:p>
    <w:p>
      <w:pPr>
        <w:pStyle w:val="CommentText"/>
      </w:pPr>
      <w:r>
        <w:rPr>
          <w:b/>
        </w:rPr>
        <w:t xml:space="preserve">Contradice a: </w:t>
      </w:r>
      <w:r>
        <w:t>Cap. VI: 167 expedientes (87/80), 163 sentencias de vista (85/78), 105 anuladas (53/52) y series 281/328.</w:t>
      </w:r>
    </w:p>
    <w:p>
      <w:pPr>
        <w:pStyle w:val="CommentText"/>
      </w:pPr>
      <w:r>
        <w:rPr>
          <w:b/>
        </w:rPr>
        <w:t xml:space="preserve">Cambiar por: </w:t>
      </w:r>
      <w:r>
        <w:t>«El análisis se practicó sobre ciento sesenta y siete (167) expedientes civiles con sentencia de primera instancia —ochenta y siete (87) del grupo Tradicional y ochenta (80) del grupo Oralidad—, sobre ciento sesenta y tres (163) sentencias de vista, de las cuales ciento cinco (105) declararon la nulidad (53 y 52), y sobre las series anuales de sentencias de segunda instancia de 2018 (281) y 2024 (328)».</w:t>
      </w:r>
    </w:p>
  </w:comment>
  <w:comment w:id="2" w:author="Revisión de coherencia" w:initials="RC" w:date="2026-09-29T11:41:08Z">
    <w:p>
      <w:pPr>
        <w:pStyle w:val="CommentText"/>
      </w:pPr>
      <w:r>
        <w:rPr>
          <w:rStyle w:val="CommentReference"/>
        </w:rPr>
        <w:annotationRef/>
      </w:r>
      <w:r>
        <w:rPr>
          <w:b/>
        </w:rPr>
        <w:t>[A-02] INTERPRETACIÓN · I.1, segundo párrafo</w:t>
      </w:r>
    </w:p>
    <w:p>
      <w:pPr>
        <w:pStyle w:val="CommentText"/>
      </w:pPr>
      <w:r>
        <w:rPr>
          <w:b/>
        </w:rPr>
        <w:t xml:space="preserve">Problema: </w:t>
      </w:r>
      <w:r>
        <w:t>La Tabla 3 muestra diferencias por vía procesal y la Tabla 1 del Cap. VI es la serie de 2018, no la comparabilidad.</w:t>
      </w:r>
    </w:p>
    <w:p>
      <w:pPr>
        <w:pStyle w:val="CommentText"/>
      </w:pPr>
      <w:r>
        <w:rPr>
          <w:b/>
        </w:rPr>
        <w:t xml:space="preserve">Contradice a: </w:t>
      </w:r>
      <w:r>
        <w:t>Cap. VI, Tabla 3 («comparaciones descriptivas y no ajustadas por vía») y Cap. VII, 2.8 («no garantiza equivalencia entre grupos ni elimina factores de confusión»).</w:t>
      </w:r>
    </w:p>
    <w:p>
      <w:pPr>
        <w:pStyle w:val="CommentText"/>
      </w:pPr>
      <w:r>
        <w:rPr>
          <w:b/>
        </w:rPr>
        <w:t xml:space="preserve">Cambiar por: </w:t>
      </w:r>
      <w:r>
        <w:t>«…construyó un corpus caracterizado por vía procesal y por hito de segunda instancia (Tabla 3), cuyas diferencias de composición se declaran y limitan las comparaciones a un plano descriptivo…»</w:t>
      </w:r>
    </w:p>
  </w:comment>
  <w:comment w:id="3" w:author="Revisión de coherencia" w:initials="RC" w:date="2026-09-29T11:41:08Z">
    <w:p>
      <w:pPr>
        <w:pStyle w:val="CommentText"/>
      </w:pPr>
      <w:r>
        <w:rPr>
          <w:rStyle w:val="CommentReference"/>
        </w:rPr>
        <w:annotationRef/>
      </w:r>
      <w:r>
        <w:rPr>
          <w:b/>
        </w:rPr>
        <w:t>[A-03] INTERPRETACIÓN · I.2, hallazgo central</w:t>
      </w:r>
    </w:p>
    <w:p>
      <w:pPr>
        <w:pStyle w:val="CommentText"/>
      </w:pPr>
      <w:r>
        <w:rPr>
          <w:b/>
        </w:rPr>
        <w:t xml:space="preserve">Problema: </w:t>
      </w:r>
      <w:r>
        <w:t>Atribuye el menor avance a la defensa técnica sin un dato que lo respalde.</w:t>
      </w:r>
    </w:p>
    <w:p>
      <w:pPr>
        <w:pStyle w:val="CommentText"/>
      </w:pPr>
      <w:r>
        <w:rPr>
          <w:b/>
        </w:rPr>
        <w:t xml:space="preserve">Contradice a: </w:t>
      </w:r>
      <w:r>
        <w:t>Cap. VII, 2.1 y 2.4 (RESULTADOS): «no bastan para imputar falta de colaboración a los abogados».</w:t>
      </w:r>
    </w:p>
    <w:p>
      <w:pPr>
        <w:pStyle w:val="CommentText"/>
      </w:pPr>
      <w:r>
        <w:rPr>
          <w:b/>
        </w:rPr>
        <w:t xml:space="preserve">Cambiar por: </w:t>
      </w:r>
      <w:r>
        <w:t>«…y se debilitan en la emisión de la decisión y en las prácticas que requieren acuerdo de las partes, cuya baja frecuencia admite diversas explicaciones.»</w:t>
      </w:r>
    </w:p>
  </w:comment>
  <w:comment w:id="4" w:author="Revisión de coherencia" w:initials="RC" w:date="2026-09-29T11:41:08Z">
    <w:p>
      <w:pPr>
        <w:pStyle w:val="CommentText"/>
      </w:pPr>
      <w:r>
        <w:rPr>
          <w:rStyle w:val="CommentReference"/>
        </w:rPr>
        <w:annotationRef/>
      </w:r>
      <w:r>
        <w:rPr>
          <w:b/>
        </w:rPr>
        <w:t>[A-04] CIFRA · I.2, «Dimensión de gestión procesal»</w:t>
      </w:r>
    </w:p>
    <w:p>
      <w:pPr>
        <w:pStyle w:val="CommentText"/>
      </w:pPr>
      <w:r>
        <w:rPr>
          <w:b/>
        </w:rPr>
        <w:t xml:space="preserve">Problema: </w:t>
      </w:r>
      <w:r>
        <w:t>Las cifras 20,9 % → 77,2 % (56,3 p. p.), 2,3 % → 17,5 %, 3,5 %, 19,3 % y 7,0 % son del corpus anterior.</w:t>
      </w:r>
    </w:p>
    <w:p>
      <w:pPr>
        <w:pStyle w:val="CommentText"/>
      </w:pPr>
      <w:r>
        <w:rPr>
          <w:b/>
        </w:rPr>
        <w:t xml:space="preserve">Contradice a: </w:t>
      </w:r>
      <w:r>
        <w:t>Tabla 4 del Cap. VI.</w:t>
      </w:r>
    </w:p>
    <w:p>
      <w:pPr>
        <w:pStyle w:val="CommentText"/>
      </w:pPr>
      <w:r>
        <w:rPr>
          <w:b/>
        </w:rPr>
        <w:t xml:space="preserve">Cambiar por: </w:t>
      </w:r>
      <w:r>
        <w:t>«La concentración acreditada del saneamiento, la fijación de puntos controvertidos y la admisión de medios probatorios en un solo acto pasó del 20,7 % al 71,3 % (Tabla 4), diferencia de 50,6 puntos porcentuales, la mayor entre los indicadores observados. La fijación expresa de hechos no controvertidos pasó del 0,0 % al 16,3 %; en cambio, no se computaron convenciones probatorias en ningún grupo, la sentencia expedida en audiencia alcanzó el 5,0 % y la lectura oral del sentido del fallo el 2,5 %.»</w:t>
      </w:r>
    </w:p>
  </w:comment>
  <w:comment w:id="5" w:author="Revisión de coherencia" w:initials="RC" w:date="2026-09-29T11:41:08Z">
    <w:p>
      <w:pPr>
        <w:pStyle w:val="CommentText"/>
      </w:pPr>
      <w:r>
        <w:rPr>
          <w:rStyle w:val="CommentReference"/>
        </w:rPr>
        <w:annotationRef/>
      </w:r>
      <w:r>
        <w:rPr>
          <w:b/>
        </w:rPr>
        <w:t>[A-05] CIFRA · I.2, «Dimensión de calidad decisoria»</w:t>
      </w:r>
    </w:p>
    <w:p>
      <w:pPr>
        <w:pStyle w:val="CommentText"/>
      </w:pPr>
      <w:r>
        <w:rPr>
          <w:b/>
        </w:rPr>
        <w:t xml:space="preserve">Problema: </w:t>
      </w:r>
      <w:r>
        <w:t>(i) Confirmación 2,9 % → 60,0 % y censura 97,1 % → 40,0 % no corresponden a la Tabla 5 actual (confirmada 1,2 % y 1,3 %). (ii) La serie «63,1 % → 80,3 %, p = 0,002 (Tabla 13)» no existe: las series son 65,5 % → 72,6 % (Tablas 1 y 2) y el Cap. VII declara que no hay contraste de significancia (con estas cifras, una prueba χ² daría p ≈ 0,06 para la confirmación). (iii) La lista de defectos incluye una categoría no codificada (omisión de regla vinculante), una sin variación (prueba de oficio: 1,9 % y 1,9 %) y la motivación aparente, que se mantiene estable (9,4 % y 9,6 %).</w:t>
      </w:r>
    </w:p>
    <w:p>
      <w:pPr>
        <w:pStyle w:val="CommentText"/>
      </w:pPr>
      <w:r>
        <w:rPr>
          <w:b/>
        </w:rPr>
        <w:t xml:space="preserve">Contradice a: </w:t>
      </w:r>
      <w:r>
        <w:t>Cap. VI, Tablas 1, 2, 5 y 6; Cap. VII, 2.7.</w:t>
      </w:r>
    </w:p>
    <w:p>
      <w:pPr>
        <w:pStyle w:val="CommentText"/>
      </w:pPr>
      <w:r>
        <w:rPr>
          <w:b/>
        </w:rPr>
        <w:t xml:space="preserve">Cambiar por: </w:t>
      </w:r>
      <w:r>
        <w:t>«Dimensión de estabilidad y calidad decisoria. En las series anuales, la confirmación ascendió del 65,5 % (2018) al 72,6 % (2024) y la revocación descendió del 12,8 % al 7,3 %, mientras la anulación se mantuvo estable (21,7 % y 20,1 %; Tablas 1 y 2). En las sentencias anuladas (Tabla 6), los vicios de motivación concurren en proporciones semejantes (56,6 % y 57,7 %): disminuyeron la motivación sustancialmente incongruente (32,1 % → 25,0 %), el litisconsorte necesario omitido (9,4 % → 3,8 %) y el emplazamiento defectuoso (9,4 % → 5,8 %), mientras aumentaron la motivación insuficiente (15,1 % → 28,8 %), la omisión de valoración de prueba admitida o decisiva (3,8 % → 11,5 %), la deficiencia en la motivación externa (5,7 % → 11,5 %), la omisión de resolver incidencia previa (3,8 % → 11,5 %) y la nulidad concatenada (7,5 % → 11,5 %); la motivación aparente se mantuvo (9,4 % y 9,6 %).»</w:t>
      </w:r>
    </w:p>
  </w:comment>
  <w:comment w:id="6" w:author="Revisión de coherencia" w:initials="RC" w:date="2026-09-29T11:41:08Z">
    <w:p>
      <w:pPr>
        <w:pStyle w:val="CommentText"/>
      </w:pPr>
      <w:r>
        <w:rPr>
          <w:rStyle w:val="CommentReference"/>
        </w:rPr>
        <w:annotationRef/>
      </w:r>
      <w:r>
        <w:rPr>
          <w:b/>
        </w:rPr>
        <w:t>[A-06] INTERPRETACIÓN · I.3, «Vacío jurídico o brecha identificada»</w:t>
      </w:r>
    </w:p>
    <w:p>
      <w:pPr>
        <w:pStyle w:val="CommentText"/>
      </w:pPr>
      <w:r>
        <w:rPr>
          <w:b/>
        </w:rPr>
        <w:t xml:space="preserve">Problema: </w:t>
      </w:r>
      <w:r>
        <w:t>Presenta como «vacío jurídico» algo que la Discusión califica como problema de registro y de gestión.</w:t>
      </w:r>
    </w:p>
    <w:p>
      <w:pPr>
        <w:pStyle w:val="CommentText"/>
      </w:pPr>
      <w:r>
        <w:rPr>
          <w:b/>
        </w:rPr>
        <w:t xml:space="preserve">Contradice a: </w:t>
      </w:r>
      <w:r>
        <w:t>Cap. VII, 2.5 (RESULTADOS): «sustenta una propuesta de mejorar el registro y la conducción de la audiencia. No demuestra un vacío legislativo»; «La frecuencia reducida de un registro no permite concluir que deba incorporarse una nueva disposición al Código Procesal Civil».</w:t>
      </w:r>
    </w:p>
    <w:p>
      <w:pPr>
        <w:pStyle w:val="CommentText"/>
      </w:pPr>
      <w:r>
        <w:rPr>
          <w:b/>
        </w:rPr>
        <w:t xml:space="preserve">Cambiar por: </w:t>
      </w:r>
      <w:r>
        <w:t>Retitular «3. Brecha de implementación identificada» y redactar: «…no se ha implementado un estándar uniforme de registro que permita verificar la trazabilidad entre… La investigación no acredita un vacío legislativo: la brecha se ubica en el registro y en la conducción de la audiencia.»</w:t>
      </w:r>
    </w:p>
  </w:comment>
  <w:comment w:id="7" w:author="Revisión de coherencia" w:initials="RC" w:date="2026-09-29T11:41:08Z">
    <w:p>
      <w:pPr>
        <w:pStyle w:val="CommentText"/>
      </w:pPr>
      <w:r>
        <w:rPr>
          <w:rStyle w:val="CommentReference"/>
        </w:rPr>
        <w:annotationRef/>
      </w:r>
      <w:r>
        <w:rPr>
          <w:b/>
        </w:rPr>
        <w:t>[A-07] INTERPRETACIÓN · I.3, «Primero»</w:t>
      </w:r>
    </w:p>
    <w:p>
      <w:pPr>
        <w:pStyle w:val="CommentText"/>
      </w:pPr>
      <w:r>
        <w:rPr>
          <w:b/>
        </w:rPr>
        <w:t xml:space="preserve">Problema: </w:t>
      </w:r>
      <w:r>
        <w:t>El Cap. VI no contiene un indicador sobre la invocación de las R. A.</w:t>
      </w:r>
    </w:p>
    <w:p>
      <w:pPr>
        <w:pStyle w:val="CommentText"/>
      </w:pPr>
      <w:r>
        <w:rPr>
          <w:b/>
        </w:rPr>
        <w:t xml:space="preserve">Contradice a: </w:t>
      </w:r>
      <w:r>
        <w:t>Cap. VII, 2.5 (RESULTADOS): «La ausencia de cita expresa de las resoluciones administrativas en una sentencia no acredita, por sí misma, incumplimiento del modelo ni falta de control impugnatorio».</w:t>
      </w:r>
    </w:p>
    <w:p>
      <w:pPr>
        <w:pStyle w:val="CommentText"/>
      </w:pPr>
      <w:r>
        <w:rPr>
          <w:b/>
        </w:rPr>
        <w:t xml:space="preserve">Cambiar por: </w:t>
      </w:r>
      <w:r>
        <w:t>Suprimir la frase o presentarla como hipótesis normativa a evaluar, no como evidencia.</w:t>
      </w:r>
    </w:p>
  </w:comment>
  <w:comment w:id="8" w:author="Revisión de coherencia" w:initials="RC" w:date="2026-09-29T11:41:08Z">
    <w:p>
      <w:pPr>
        <w:pStyle w:val="CommentText"/>
      </w:pPr>
      <w:r>
        <w:rPr>
          <w:rStyle w:val="CommentReference"/>
        </w:rPr>
        <w:annotationRef/>
      </w:r>
      <w:r>
        <w:rPr>
          <w:b/>
        </w:rPr>
        <w:t>[A-08] CIFRA · I.3, «Segundo»</w:t>
      </w:r>
    </w:p>
    <w:p>
      <w:pPr>
        <w:pStyle w:val="CommentText"/>
      </w:pPr>
      <w:r>
        <w:rPr>
          <w:b/>
        </w:rPr>
        <w:t xml:space="preserve">Problema: </w:t>
      </w:r>
      <w:r>
        <w:t>Cifras del corpus anterior. La Tabla 9 no existe.</w:t>
      </w:r>
    </w:p>
    <w:p>
      <w:pPr>
        <w:pStyle w:val="CommentText"/>
      </w:pPr>
      <w:r>
        <w:rPr>
          <w:b/>
        </w:rPr>
        <w:t xml:space="preserve">Contradice a: </w:t>
      </w:r>
      <w:r>
        <w:t>Tabla 6 del Cap. VI (3,8 % → 11,5 %).</w:t>
      </w:r>
    </w:p>
    <w:p>
      <w:pPr>
        <w:pStyle w:val="CommentText"/>
      </w:pPr>
      <w:r>
        <w:rPr>
          <w:b/>
        </w:rPr>
        <w:t xml:space="preserve">Cambiar por: </w:t>
      </w:r>
      <w:r>
        <w:t>«…la omisión de valoración de prueba admitida o decisiva ascendió del 3,8 % al 11,5 % de las sentencias anuladas (Tabla 6).»</w:t>
      </w:r>
    </w:p>
  </w:comment>
  <w:comment w:id="9" w:author="Revisión de coherencia" w:initials="RC" w:date="2026-09-29T11:41:08Z">
    <w:p>
      <w:pPr>
        <w:pStyle w:val="CommentText"/>
      </w:pPr>
      <w:r>
        <w:rPr>
          <w:rStyle w:val="CommentReference"/>
        </w:rPr>
        <w:annotationRef/>
      </w:r>
      <w:r>
        <w:rPr>
          <w:b/>
        </w:rPr>
        <w:t>[A-09] CIFRA · I.3, «Tercero»</w:t>
      </w:r>
    </w:p>
    <w:p>
      <w:pPr>
        <w:pStyle w:val="CommentText"/>
      </w:pPr>
      <w:r>
        <w:rPr>
          <w:b/>
        </w:rPr>
        <w:t xml:space="preserve">Problema: </w:t>
      </w:r>
      <w:r>
        <w:t>Las «58 sentencias anuladas por vicio de motivación», la externa 19,0 % → 40,5 % y la incongruente 42,9 % → 24,3 % (Tabla 14) son del corpus anterior. En la Tabla 6 actual, c) pasa del 5,7 % al 11,5 %, e) del 32,1 % al 25,0 % y d) del 15,1 % al 28,8 %: el desplazamiento principal es hacia la INSUFICIENCIA, no hacia la justificación externa. «Mejora la justificación interna» no se sostiene: b) pasa de 5 a 4 casos.</w:t>
      </w:r>
    </w:p>
    <w:p>
      <w:pPr>
        <w:pStyle w:val="CommentText"/>
      </w:pPr>
      <w:r>
        <w:rPr>
          <w:b/>
        </w:rPr>
        <w:t xml:space="preserve">Contradice a: </w:t>
      </w:r>
      <w:r>
        <w:t>Tabla 6 y Cap. VII, 2.3 («de la incongruencia… hacia la motivación insuficiente»).</w:t>
      </w:r>
    </w:p>
    <w:p>
      <w:pPr>
        <w:pStyle w:val="CommentText"/>
      </w:pPr>
      <w:r>
        <w:rPr>
          <w:b/>
        </w:rPr>
        <w:t xml:space="preserve">Cambiar por: </w:t>
      </w:r>
      <w:r>
        <w:t>«Tercero, un desplazamiento del vicio de motivación no atendido por el modelo. En las 105 sentencias anuladas (53 y 52), los vicios de motivación concurren en proporciones semejantes (56,6 % y 57,7 %), pero cambia su composición: la motivación sustancialmente incongruente desciende del 32,1 % al 25,0 %, mientras la motivación insuficiente asciende del 15,1 % al 28,8 % —incluida la omisión de valoración de prueba admitida o decisiva, del 3,8 % al 11,5 %— y la deficiencia en la motivación externa del 5,7 % al 11,5 % (Tabla 6). El protocolo de audiencia no interviene sobre la justificación de las premisas, que se elabora por escrito después de la audiencia.»</w:t>
      </w:r>
    </w:p>
  </w:comment>
  <w:comment w:id="10" w:author="Revisión de coherencia" w:initials="RC" w:date="2026-09-29T11:41:08Z">
    <w:p>
      <w:pPr>
        <w:pStyle w:val="CommentText"/>
      </w:pPr>
      <w:r>
        <w:rPr>
          <w:rStyle w:val="CommentReference"/>
        </w:rPr>
        <w:annotationRef/>
      </w:r>
      <w:r>
        <w:rPr>
          <w:b/>
        </w:rPr>
        <w:t>[A-10] INTERPRETACIÓN · I.3, «Cuarto»</w:t>
      </w:r>
    </w:p>
    <w:p>
      <w:pPr>
        <w:pStyle w:val="CommentText"/>
      </w:pPr>
      <w:r>
        <w:rPr>
          <w:b/>
        </w:rPr>
        <w:t xml:space="preserve">Problema: </w:t>
      </w:r>
      <w:r>
        <w:t>La duración del control superior no se presenta en el Cap. VI (R-11), y el «rasgo sistémico de las reformas latinoamericanas» contradice la Discusión.</w:t>
      </w:r>
    </w:p>
    <w:p>
      <w:pPr>
        <w:pStyle w:val="CommentText"/>
      </w:pPr>
      <w:r>
        <w:rPr>
          <w:b/>
        </w:rPr>
        <w:t xml:space="preserve">Contradice a: </w:t>
      </w:r>
      <w:r>
        <w:t>Cap. VII, 2.4 y 2.5 (RESULTADOS): «el contraste entre ordenamientos es contextual y no acredita una causa común de demora»; «No permite… identificarla como principal origen de la demora sin desagregar los tiempos».</w:t>
      </w:r>
    </w:p>
    <w:p>
      <w:pPr>
        <w:pStyle w:val="CommentText"/>
      </w:pPr>
      <w:r>
        <w:rPr>
          <w:b/>
        </w:rPr>
        <w:t xml:space="preserve">Cambiar por: </w:t>
      </w:r>
      <w:r>
        <w:t>«Cuarto, una brecha de medición en la segunda instancia. La reforma se construyó sobre la audiencia de primera instancia; la diferencia entre las duraciones medias del control superior es reducida (318,6 y 313,3 días; Tabla [n]), pero sin desagregar los tiempos del proceso no puede identificarse la alzada como origen principal de la demora ni afirmarse una causa común con otros ordenamientos.»</w:t>
      </w:r>
    </w:p>
  </w:comment>
  <w:comment w:id="11" w:author="Revisión de coherencia" w:initials="RC" w:date="2026-09-29T11:41:08Z">
    <w:p>
      <w:pPr>
        <w:pStyle w:val="CommentText"/>
      </w:pPr>
      <w:r>
        <w:rPr>
          <w:rStyle w:val="CommentReference"/>
        </w:rPr>
        <w:annotationRef/>
      </w:r>
      <w:r>
        <w:rPr>
          <w:b/>
        </w:rPr>
        <w:t>[A-11] CIFRA · I.4, primer párrafo</w:t>
      </w:r>
    </w:p>
    <w:p>
      <w:pPr>
        <w:pStyle w:val="CommentText"/>
      </w:pPr>
      <w:r>
        <w:rPr>
          <w:b/>
        </w:rPr>
        <w:t xml:space="preserve">Problema: </w:t>
      </w:r>
      <w:r>
        <w:t>Cifras del corpus anterior; lenguaje causal («se explica por»); y la frase final contradice la Discusión.</w:t>
      </w:r>
    </w:p>
    <w:p>
      <w:pPr>
        <w:pStyle w:val="CommentText"/>
      </w:pPr>
      <w:r>
        <w:rPr>
          <w:b/>
        </w:rPr>
        <w:t xml:space="preserve">Contradice a: </w:t>
      </w:r>
      <w:r>
        <w:t>Tabla 4 (20,7 % → 71,3 %); Cap. VI, 1.1; Cap. VII, 2.5.</w:t>
      </w:r>
    </w:p>
    <w:p>
      <w:pPr>
        <w:pStyle w:val="CommentText"/>
      </w:pPr>
      <w:r>
        <w:rPr>
          <w:b/>
        </w:rPr>
        <w:t xml:space="preserve">Cambiar por: </w:t>
      </w:r>
      <w:r>
        <w:t>«El salto de la concentración del 20,7 % al 71,3 % no se asocia a una norma nueva, pues los principios del artículo V del Título Preliminar del CPC rigen desde 1993, sino que es compatible con el protocolo de audiencia y su supervisión. La variable crítica se ubica, en consecuencia, en la gestión del despacho.» (Suprimir «sin perjuicio de la conveniencia de incorporar el modelo al Código…».)</w:t>
      </w:r>
    </w:p>
  </w:comment>
  <w:comment w:id="12" w:author="Revisión de coherencia" w:initials="RC" w:date="2026-09-29T11:41:08Z">
    <w:p>
      <w:pPr>
        <w:pStyle w:val="CommentText"/>
      </w:pPr>
      <w:r>
        <w:rPr>
          <w:rStyle w:val="CommentReference"/>
        </w:rPr>
        <w:annotationRef/>
      </w:r>
      <w:r>
        <w:rPr>
          <w:b/>
        </w:rPr>
        <w:t>[A-12] INTERPRETACIÓN · I.4, tercer párrafo</w:t>
      </w:r>
    </w:p>
    <w:p>
      <w:pPr>
        <w:pStyle w:val="CommentText"/>
      </w:pPr>
      <w:r>
        <w:rPr>
          <w:b/>
        </w:rPr>
        <w:t xml:space="preserve">Problema: </w:t>
      </w:r>
      <w:r>
        <w:t>Con los datos actuales, las dimensiones no se mueven «en sentidos distintos»: la estabilidad mejora y la motivación de las sentencias anuladas no varía en conjunto (56,6 % y 57,7 %).</w:t>
      </w:r>
    </w:p>
    <w:p>
      <w:pPr>
        <w:pStyle w:val="CommentText"/>
      </w:pPr>
      <w:r>
        <w:rPr>
          <w:b/>
        </w:rPr>
        <w:t xml:space="preserve">Contradice a: </w:t>
      </w:r>
      <w:r>
        <w:t>Tablas 1, 2 y 6.</w:t>
      </w:r>
    </w:p>
    <w:p>
      <w:pPr>
        <w:pStyle w:val="CommentText"/>
      </w:pPr>
      <w:r>
        <w:rPr>
          <w:b/>
        </w:rPr>
        <w:t xml:space="preserve">Cambiar por: </w:t>
      </w:r>
      <w:r>
        <w:t>«La evidencia muestra que ambas dimensiones no evolucionaron de la misma manera: la estabilidad mejora en las series anuales, mientras la frecuencia de vicios de motivación en las sentencias anuladas se mantiene…»</w:t>
      </w:r>
    </w:p>
  </w:comment>
  <w:comment w:id="13" w:author="Revisión de coherencia" w:initials="RC" w:date="2026-09-29T11:41:08Z">
    <w:p>
      <w:pPr>
        <w:pStyle w:val="CommentText"/>
      </w:pPr>
      <w:r>
        <w:rPr>
          <w:rStyle w:val="CommentReference"/>
        </w:rPr>
        <w:annotationRef/>
      </w:r>
      <w:r>
        <w:rPr>
          <w:b/>
        </w:rPr>
        <w:t>[A-13] CIFRA · I.5, párrafo introductorio</w:t>
      </w:r>
    </w:p>
    <w:p>
      <w:pPr>
        <w:pStyle w:val="CommentText"/>
      </w:pPr>
      <w:r>
        <w:rPr>
          <w:b/>
        </w:rPr>
        <w:t xml:space="preserve">Problema: </w:t>
      </w:r>
      <w:r>
        <w:t>Dice «primera medición» y usa las cifras del corpus anterior (cien expedientes, ciento trece sentencias).</w:t>
      </w:r>
    </w:p>
    <w:p>
      <w:pPr>
        <w:pStyle w:val="CommentText"/>
      </w:pPr>
      <w:r>
        <w:rPr>
          <w:b/>
        </w:rPr>
        <w:t xml:space="preserve">Contradice a: </w:t>
      </w:r>
      <w:r>
        <w:t>Cap. VII, 2.8 (RESULTADOS): «no acredita que sea la primera utilización civil de la tipología ni que no existan estudios anteriores en Arequipa».</w:t>
      </w:r>
    </w:p>
    <w:p>
      <w:pPr>
        <w:pStyle w:val="CommentText"/>
      </w:pPr>
      <w:r>
        <w:rPr>
          <w:b/>
        </w:rPr>
        <w:t xml:space="preserve">Cambiar por: </w:t>
      </w:r>
      <w:r>
        <w:t>«El aporte empírico consiste en una medición sistemática, en el ámbito de la Sede Central de Arequipa, del efecto del Modelo de Oralidad Civil sobre el producto final del proceso, con base en 167 expedientes, 163 sentencias de vista (105 anuladas) y las series anuales de 2018 y 2024:»</w:t>
      </w:r>
    </w:p>
  </w:comment>
  <w:comment w:id="14" w:author="Revisión de coherencia" w:initials="RC" w:date="2026-09-29T11:41:08Z">
    <w:p>
      <w:pPr>
        <w:pStyle w:val="CommentText"/>
      </w:pPr>
      <w:r>
        <w:rPr>
          <w:rStyle w:val="CommentReference"/>
        </w:rPr>
        <w:annotationRef/>
      </w:r>
      <w:r>
        <w:rPr>
          <w:b/>
        </w:rPr>
        <w:t>[A-14] CIFRA · I.5, viñeta 1 (modelo escritural)</w:t>
      </w:r>
    </w:p>
    <w:p>
      <w:pPr>
        <w:pStyle w:val="CommentText"/>
      </w:pPr>
      <w:r>
        <w:rPr>
          <w:b/>
        </w:rPr>
        <w:t xml:space="preserve">Problema: </w:t>
      </w:r>
      <w:r>
        <w:t>97,1 % de censura y 48,8 % de anulación previa son cifras del corpus anterior. En la muestra actual la censura es casi total en ambos grupos (96,5 % y 97,4 %) porque los expedientes se seleccionaron por su hito de segunda instancia (Tabla 3), así que no es un resultado comparable.</w:t>
      </w:r>
    </w:p>
    <w:p>
      <w:pPr>
        <w:pStyle w:val="CommentText"/>
      </w:pPr>
      <w:r>
        <w:rPr>
          <w:b/>
        </w:rPr>
        <w:t xml:space="preserve">Contradice a: </w:t>
      </w:r>
      <w:r>
        <w:t>Tablas 1, 3 y 5 del Cap. VI.</w:t>
      </w:r>
    </w:p>
    <w:p>
      <w:pPr>
        <w:pStyle w:val="CommentText"/>
      </w:pPr>
      <w:r>
        <w:rPr>
          <w:b/>
        </w:rPr>
        <w:t xml:space="preserve">Cambiar por: </w:t>
      </w:r>
      <w:r>
        <w:t>«Bajo el modelo escritural, el patrón dominante es la dispersión del saneamiento en resoluciones sucesivas y separadas (solo el 20,7 % acredita concentración); en la serie anual de 2018, el 34,5 % de las sentencias sometidas a control fue anulado o revocado.»</w:t>
      </w:r>
    </w:p>
  </w:comment>
  <w:comment w:id="15" w:author="Revisión de coherencia" w:initials="RC" w:date="2026-09-29T11:41:08Z">
    <w:p>
      <w:pPr>
        <w:pStyle w:val="CommentText"/>
      </w:pPr>
      <w:r>
        <w:rPr>
          <w:rStyle w:val="CommentReference"/>
        </w:rPr>
        <w:annotationRef/>
      </w:r>
      <w:r>
        <w:rPr>
          <w:b/>
        </w:rPr>
        <w:t>[A-15] CIFRA · I.5, viñeta 2 (modelo de oralidad)</w:t>
      </w:r>
    </w:p>
    <w:p>
      <w:pPr>
        <w:pStyle w:val="CommentText"/>
      </w:pPr>
      <w:r>
        <w:rPr>
          <w:b/>
        </w:rPr>
        <w:t xml:space="preserve">Problema: </w:t>
      </w:r>
      <w:r>
        <w:t>«Seis de cada diez» (60 %) y la «reincidencia anulatoria» del 19,3 % son del corpus anterior.</w:t>
      </w:r>
    </w:p>
    <w:p>
      <w:pPr>
        <w:pStyle w:val="CommentText"/>
      </w:pPr>
      <w:r>
        <w:rPr>
          <w:b/>
        </w:rPr>
        <w:t xml:space="preserve">Contradice a: </w:t>
      </w:r>
      <w:r>
        <w:t>Tablas 2 y 4 del Cap. VI.</w:t>
      </w:r>
    </w:p>
    <w:p>
      <w:pPr>
        <w:pStyle w:val="CommentText"/>
      </w:pPr>
      <w:r>
        <w:rPr>
          <w:b/>
        </w:rPr>
        <w:t xml:space="preserve">Cambiar por: </w:t>
      </w:r>
      <w:r>
        <w:t>«Bajo el modelo de oralidad, la concentración alcanza el 71,3 %; en la serie anual de 2024, el 72,6 % de las sentencias resistió el control superior y la revocación descendió al 7,3 %.»</w:t>
      </w:r>
    </w:p>
  </w:comment>
  <w:comment w:id="16" w:author="Revisión de coherencia" w:initials="RC" w:date="2026-09-29T11:41:08Z">
    <w:p>
      <w:pPr>
        <w:pStyle w:val="CommentText"/>
      </w:pPr>
      <w:r>
        <w:rPr>
          <w:rStyle w:val="CommentReference"/>
        </w:rPr>
        <w:annotationRef/>
      </w:r>
      <w:r>
        <w:rPr>
          <w:b/>
        </w:rPr>
        <w:t>[A-16] CIFRA · I.5, viñeta 3 (nulidad vs. revocatoria)</w:t>
      </w:r>
    </w:p>
    <w:p>
      <w:pPr>
        <w:pStyle w:val="CommentText"/>
      </w:pPr>
      <w:r>
        <w:rPr>
          <w:b/>
        </w:rPr>
        <w:t xml:space="preserve">Problema: </w:t>
      </w:r>
      <w:r>
        <w:t>«80,6 % → 70,1 %» y «19,4 % → 29,9 %» (Tabla 7) no existen. Con los datos actuales ocurre lo contrario: dentro de los pronunciamientos adversos, la anulación SUBE del 62,9 % (61 de 97) al 73,3 % (66 de 90) en las series anuales, y del 64,6 % al 68,4 % en la muestra (Tabla 5).</w:t>
      </w:r>
    </w:p>
    <w:p>
      <w:pPr>
        <w:pStyle w:val="CommentText"/>
      </w:pPr>
      <w:r>
        <w:rPr>
          <w:b/>
        </w:rPr>
        <w:t xml:space="preserve">Contradice a: </w:t>
      </w:r>
      <w:r>
        <w:t>Tablas 1, 2 y 5 del Cap. VI.</w:t>
      </w:r>
    </w:p>
    <w:p>
      <w:pPr>
        <w:pStyle w:val="CommentText"/>
      </w:pPr>
      <w:r>
        <w:rPr>
          <w:b/>
        </w:rPr>
        <w:t xml:space="preserve">Cambiar por: </w:t>
      </w:r>
      <w:r>
        <w:t>Suprimir la viñeta o invertir su sentido: «Dentro del control adverso, la revocatoria perdió peso frente a la nulidad: en las series anuales, la anulación pasó del 62,9 % al 73,3 % de los pronunciamientos adversos, porque la revocación descendió (12,8 % → 7,3 %) mientras la anulación se mantuvo (21,7 % → 20,1 %).»</w:t>
      </w:r>
    </w:p>
  </w:comment>
  <w:comment w:id="17" w:author="Revisión de coherencia" w:initials="RC" w:date="2026-09-29T11:41:08Z">
    <w:p>
      <w:pPr>
        <w:pStyle w:val="CommentText"/>
      </w:pPr>
      <w:r>
        <w:rPr>
          <w:rStyle w:val="CommentReference"/>
        </w:rPr>
        <w:annotationRef/>
      </w:r>
      <w:r>
        <w:rPr>
          <w:b/>
        </w:rPr>
        <w:t>[A-17] CIFRA · I.5, viñeta 4</w:t>
      </w:r>
    </w:p>
    <w:p>
      <w:pPr>
        <w:pStyle w:val="CommentText"/>
      </w:pPr>
      <w:r>
        <w:rPr>
          <w:b/>
        </w:rPr>
        <w:t xml:space="preserve">Problema: </w:t>
      </w:r>
      <w:r>
        <w:t>La «Tabla 10» no existe: el Cap. VI solo analiza las causales de las sentencias ANULADAS, no las de las revocadas.</w:t>
      </w:r>
    </w:p>
    <w:p>
      <w:pPr>
        <w:pStyle w:val="CommentText"/>
      </w:pPr>
      <w:r>
        <w:rPr>
          <w:b/>
        </w:rPr>
        <w:t xml:space="preserve">Contradice a: </w:t>
      </w:r>
      <w:r>
        <w:t>Cap. VI (Tabla 6 solo sobre 53/52 anuladas).</w:t>
      </w:r>
    </w:p>
    <w:p>
      <w:pPr>
        <w:pStyle w:val="CommentText"/>
      </w:pPr>
      <w:r>
        <w:rPr>
          <w:b/>
        </w:rPr>
        <w:t xml:space="preserve">Cambiar por: </w:t>
      </w:r>
      <w:r>
        <w:t>Suprimir, o incorporar al Cap. VI la tabla de causales de las 53 revocadas (29 + 24) si se quiere sostener la afirmación.</w:t>
      </w:r>
    </w:p>
  </w:comment>
  <w:comment w:id="18" w:author="Revisión de coherencia" w:initials="RC" w:date="2026-09-29T11:41:08Z">
    <w:p>
      <w:pPr>
        <w:pStyle w:val="CommentText"/>
      </w:pPr>
      <w:r>
        <w:rPr>
          <w:rStyle w:val="CommentReference"/>
        </w:rPr>
        <w:annotationRef/>
      </w:r>
      <w:r>
        <w:rPr>
          <w:b/>
        </w:rPr>
        <w:t>[A-18] CIFRA · I.5, viñeta 5</w:t>
      </w:r>
    </w:p>
    <w:p>
      <w:pPr>
        <w:pStyle w:val="CommentText"/>
      </w:pPr>
      <w:r>
        <w:rPr>
          <w:b/>
        </w:rPr>
        <w:t xml:space="preserve">Problema: </w:t>
      </w:r>
      <w:r>
        <w:t>La concurrencia de vicios de motivación del 42,9 % y el 43,2 % no figura en el Cap. VI.</w:t>
      </w:r>
    </w:p>
    <w:p>
      <w:pPr>
        <w:pStyle w:val="CommentText"/>
      </w:pPr>
      <w:r>
        <w:rPr>
          <w:b/>
        </w:rPr>
        <w:t xml:space="preserve">Contradice a: </w:t>
      </w:r>
      <w:r>
        <w:t>Cap. VI.</w:t>
      </w:r>
    </w:p>
    <w:p>
      <w:pPr>
        <w:pStyle w:val="CommentText"/>
      </w:pPr>
      <w:r>
        <w:rPr>
          <w:b/>
        </w:rPr>
        <w:t xml:space="preserve">Cambiar por: </w:t>
      </w:r>
      <w:r>
        <w:t>Suprimir, o recalcular (proporción de anuladas con dos o más vicios de motivación) e incorporar al Cap. VI.</w:t>
      </w:r>
    </w:p>
  </w:comment>
  <w:comment w:id="19" w:author="Revisión de coherencia" w:initials="RC" w:date="2026-09-29T11:41:08Z">
    <w:p>
      <w:pPr>
        <w:pStyle w:val="CommentText"/>
      </w:pPr>
      <w:r>
        <w:rPr>
          <w:rStyle w:val="CommentReference"/>
        </w:rPr>
        <w:annotationRef/>
      </w:r>
      <w:r>
        <w:rPr>
          <w:b/>
        </w:rPr>
        <w:t>[A-19] INTERPRETACIÓN · I.5, diagnóstico de los tres puntos</w:t>
      </w:r>
    </w:p>
    <w:p>
      <w:pPr>
        <w:pStyle w:val="CommentText"/>
      </w:pPr>
      <w:r>
        <w:rPr>
          <w:b/>
        </w:rPr>
        <w:t xml:space="preserve">Problema: </w:t>
      </w:r>
      <w:r>
        <w:t>Afirma un efecto temporal que no se midió y una conclusión sobre la alzada que la Discusión rechaza.</w:t>
      </w:r>
    </w:p>
    <w:p>
      <w:pPr>
        <w:pStyle w:val="CommentText"/>
      </w:pPr>
      <w:r>
        <w:rPr>
          <w:b/>
        </w:rPr>
        <w:t xml:space="preserve">Contradice a: </w:t>
      </w:r>
      <w:r>
        <w:t>Cap. VII, 2.6 («la información agregada no demuestra ese efecto») y 2.5 (RESULTADOS).</w:t>
      </w:r>
    </w:p>
    <w:p>
      <w:pPr>
        <w:pStyle w:val="CommentText"/>
      </w:pPr>
      <w:r>
        <w:rPr>
          <w:b/>
        </w:rPr>
        <w:t xml:space="preserve">Cambiar por: </w:t>
      </w:r>
      <w:r>
        <w:t>«…la decisión, porque el modelo concentró el debate pero no el fallo (sentencia en audiencia: 5,0 %); y la medición de la segunda instancia, cuya duración no se ha desagregado por tramos, lo que impide evaluar su incidencia en el plazo razonable.»</w:t>
      </w:r>
    </w:p>
  </w:comment>
  <w:comment w:id="20" w:author="Revisión de coherencia" w:initials="RC" w:date="2026-09-29T11:41:08Z">
    <w:p>
      <w:pPr>
        <w:pStyle w:val="CommentText"/>
      </w:pPr>
      <w:r>
        <w:rPr>
          <w:rStyle w:val="CommentReference"/>
        </w:rPr>
        <w:annotationRef/>
      </w:r>
      <w:r>
        <w:rPr>
          <w:b/>
        </w:rPr>
        <w:t>[A-20] CIFRA · I.6, primer párrafo (caso Llamoja)</w:t>
      </w:r>
    </w:p>
    <w:p>
      <w:pPr>
        <w:pStyle w:val="CommentText"/>
      </w:pPr>
      <w:r>
        <w:rPr>
          <w:b/>
        </w:rPr>
        <w:t xml:space="preserve">Problema: </w:t>
      </w:r>
      <w:r>
        <w:t>En la Tabla 6, el supuesto f) figura con «—» (marcador de umbral, sin código D equivalente), no con «0 casos». Existe además una categoría residual g) con 19 resoluciones aún no recodificadas. «Sin pérdida de capacidad discriminante» es excesivo mientras exista ese residual.</w:t>
      </w:r>
    </w:p>
    <w:p>
      <w:pPr>
        <w:pStyle w:val="CommentText"/>
      </w:pPr>
      <w:r>
        <w:rPr>
          <w:b/>
        </w:rPr>
        <w:t xml:space="preserve">Contradice a: </w:t>
      </w:r>
      <w:r>
        <w:t>Tabla 6 y Cap. VII, 2.2: «debe distinguir una categoría no identificada de una ausencia demostrada del defecto».</w:t>
      </w:r>
    </w:p>
    <w:p>
      <w:pPr>
        <w:pStyle w:val="CommentText"/>
      </w:pPr>
      <w:r>
        <w:rPr>
          <w:b/>
        </w:rPr>
        <w:t xml:space="preserve">Cambiar por: </w:t>
      </w:r>
      <w:r>
        <w:t>«…Aplicada a los supuestos a) a e) —el f) se empleó como marcador de umbral reforzado, sin código equivalente—, permitió distinguir… y hacer visible el desplazamiento del vicio entre períodos, de la motivación sustancialmente incongruente (32,1 % → 25,0 %) hacia la motivación insuficiente (15,1 % → 28,8 %). Diecinueve resoluciones (10 y 9) permanecen en la categoría residual g), pendientes de recodificación.»</w:t>
      </w:r>
    </w:p>
  </w:comment>
  <w:comment w:id="21" w:author="Revisión de coherencia" w:initials="RC" w:date="2026-09-29T11:41:08Z">
    <w:p>
      <w:pPr>
        <w:pStyle w:val="CommentText"/>
      </w:pPr>
      <w:r>
        <w:rPr>
          <w:rStyle w:val="CommentReference"/>
        </w:rPr>
        <w:annotationRef/>
      </w:r>
      <w:r>
        <w:rPr>
          <w:b/>
        </w:rPr>
        <w:t>[A-21] INTERPRETACIÓN · I.6, segundo párrafo (Plenos)</w:t>
      </w:r>
    </w:p>
    <w:p>
      <w:pPr>
        <w:pStyle w:val="CommentText"/>
      </w:pPr>
      <w:r>
        <w:rPr>
          <w:b/>
        </w:rPr>
        <w:t xml:space="preserve">Problema: </w:t>
      </w:r>
      <w:r>
        <w:t>El Cap. VI no mide la aplicación de Plenos, y la causal «omisión de regla vinculante» se retiró de la codificación (no está en la Tabla 6).</w:t>
      </w:r>
    </w:p>
    <w:p>
      <w:pPr>
        <w:pStyle w:val="CommentText"/>
      </w:pPr>
      <w:r>
        <w:rPr>
          <w:b/>
        </w:rPr>
        <w:t xml:space="preserve">Contradice a: </w:t>
      </w:r>
      <w:r>
        <w:t>Cap. VII, 2.5 (RESULTADOS): «La mera mención de un pleno no demuestra su aplicación correcta».</w:t>
      </w:r>
    </w:p>
    <w:p>
      <w:pPr>
        <w:pStyle w:val="CommentText"/>
      </w:pPr>
      <w:r>
        <w:rPr>
          <w:b/>
        </w:rPr>
        <w:t xml:space="preserve">Cambiar por: </w:t>
      </w:r>
      <w:r>
        <w:t>Suprimir el párrafo.</w:t>
      </w:r>
    </w:p>
  </w:comment>
  <w:comment w:id="22" w:author="Revisión de coherencia" w:initials="RC" w:date="2026-09-29T11:41:08Z">
    <w:p>
      <w:pPr>
        <w:pStyle w:val="CommentText"/>
      </w:pPr>
      <w:r>
        <w:rPr>
          <w:rStyle w:val="CommentReference"/>
        </w:rPr>
        <w:annotationRef/>
      </w:r>
      <w:r>
        <w:rPr>
          <w:b/>
        </w:rPr>
        <w:t>[A-22] CIFRA · I.6, tercer párrafo (STC 3509-2009)</w:t>
      </w:r>
    </w:p>
    <w:p>
      <w:pPr>
        <w:pStyle w:val="CommentText"/>
      </w:pPr>
      <w:r>
        <w:rPr>
          <w:b/>
        </w:rPr>
        <w:t xml:space="preserve">Problema: </w:t>
      </w:r>
      <w:r>
        <w:t>La reincidencia anulatoria (48,8 % → 19,3 %) no está en el Cap. VI y la anulación es estable en las series (21,7 % y 20,1 %).</w:t>
      </w:r>
    </w:p>
    <w:p>
      <w:pPr>
        <w:pStyle w:val="CommentText"/>
      </w:pPr>
      <w:r>
        <w:rPr>
          <w:b/>
        </w:rPr>
        <w:t xml:space="preserve">Contradice a: </w:t>
      </w:r>
      <w:r>
        <w:t>Cap. VII, 2.5 y 2.8 (RESULTADOS): el ahorro temporal «debe medirse»; «requiere reconstruir la cronología de cada expediente».</w:t>
      </w:r>
    </w:p>
    <w:p>
      <w:pPr>
        <w:pStyle w:val="CommentText"/>
      </w:pPr>
      <w:r>
        <w:rPr>
          <w:b/>
        </w:rPr>
        <w:t xml:space="preserve">Cambiar por: </w:t>
      </w:r>
      <w:r>
        <w:t>«Respecto de la STC 03509-2009-PHC/TC, la investigación distingue la duración de una revisión superior de la duración total que incluye eventuales reenvíos, y precisa que el efecto de las nulidades sobre el plazo razonable exige reconstruir la cronología de cada expediente.»</w:t>
      </w:r>
    </w:p>
  </w:comment>
  <w:comment w:id="23" w:author="Revisión de coherencia" w:initials="RC" w:date="2026-09-29T11:41:08Z">
    <w:p>
      <w:pPr>
        <w:pStyle w:val="CommentText"/>
      </w:pPr>
      <w:r>
        <w:rPr>
          <w:rStyle w:val="CommentReference"/>
        </w:rPr>
        <w:annotationRef/>
      </w:r>
      <w:r>
        <w:rPr>
          <w:b/>
        </w:rPr>
        <w:t>[A-23] INTERPRETACIÓN · I.7, aporte normativo (primer párrafo)</w:t>
      </w:r>
    </w:p>
    <w:p>
      <w:pPr>
        <w:pStyle w:val="CommentText"/>
      </w:pPr>
      <w:r>
        <w:rPr>
          <w:b/>
        </w:rPr>
        <w:t xml:space="preserve">Problema: </w:t>
      </w:r>
      <w:r>
        <w:t>Propone incorporar el modelo al CPC con base en que las sentencias «casi nunca invocan» las R. A., un dato que no está en el Cap. VI.</w:t>
      </w:r>
    </w:p>
    <w:p>
      <w:pPr>
        <w:pStyle w:val="CommentText"/>
      </w:pPr>
      <w:r>
        <w:rPr>
          <w:b/>
        </w:rPr>
        <w:t xml:space="preserve">Contradice a: </w:t>
      </w:r>
      <w:r>
        <w:t>Cap. VII, 2.5 (RESULTADOS): «La necesidad de una reforma legislativa exige identificar una insuficiencia normativa concreta»; «cualquier propuesta de reforma debe partir de una insuficiencia normativa comprobada».</w:t>
      </w:r>
    </w:p>
    <w:p>
      <w:pPr>
        <w:pStyle w:val="CommentText"/>
      </w:pPr>
      <w:r>
        <w:rPr>
          <w:b/>
        </w:rPr>
        <w:t xml:space="preserve">Cambiar por: </w:t>
      </w:r>
      <w:r>
        <w:t>Reformular el aporte como propuesta de gestión (protocolo de acta, trazabilidad, medición por tramos) y dejar la reforma legal como evaluación condicionada (ver Propuesta de recomendaciones, recomendación sexta).</w:t>
      </w:r>
    </w:p>
  </w:comment>
  <w:comment w:id="24" w:author="Revisión de coherencia" w:initials="RC" w:date="2026-09-29T11:41:08Z">
    <w:p>
      <w:pPr>
        <w:pStyle w:val="CommentText"/>
      </w:pPr>
      <w:r>
        <w:rPr>
          <w:rStyle w:val="CommentReference"/>
        </w:rPr>
        <w:annotationRef/>
      </w:r>
      <w:r>
        <w:rPr>
          <w:b/>
        </w:rPr>
        <w:t>[A-24] INTERPRETACIÓN · I.7, propuesta 1 (regulación legal de la audiencia preliminar)</w:t>
      </w:r>
    </w:p>
    <w:p>
      <w:pPr>
        <w:pStyle w:val="CommentText"/>
      </w:pPr>
      <w:r>
        <w:rPr>
          <w:b/>
        </w:rPr>
        <w:t xml:space="preserve">Problema: </w:t>
      </w:r>
      <w:r>
        <w:t>Presenta la reforma legal como consecuencia directa de los hallazgos.</w:t>
      </w:r>
    </w:p>
    <w:p>
      <w:pPr>
        <w:pStyle w:val="CommentText"/>
      </w:pPr>
      <w:r>
        <w:rPr>
          <w:b/>
        </w:rPr>
        <w:t xml:space="preserve">Contradice a: </w:t>
      </w:r>
      <w:r>
        <w:t>Cap. VII, 2.5 (RESULTADOS).</w:t>
      </w:r>
    </w:p>
    <w:p>
      <w:pPr>
        <w:pStyle w:val="CommentText"/>
      </w:pPr>
      <w:r>
        <w:rPr>
          <w:b/>
        </w:rPr>
        <w:t xml:space="preserve">Cambiar por: </w:t>
      </w:r>
      <w:r>
        <w:t>Convertirla en «Evaluación de la suficiencia de la regulación administrativa de la audiencia preliminar, como paso previo a una eventual iniciativa legislativa».</w:t>
      </w:r>
    </w:p>
  </w:comment>
  <w:comment w:id="25" w:author="Revisión de coherencia" w:initials="RC" w:date="2026-09-29T11:41:08Z">
    <w:p>
      <w:pPr>
        <w:pStyle w:val="CommentText"/>
      </w:pPr>
      <w:r>
        <w:rPr>
          <w:rStyle w:val="CommentReference"/>
        </w:rPr>
        <w:annotationRef/>
      </w:r>
      <w:r>
        <w:rPr>
          <w:b/>
        </w:rPr>
        <w:t>[A-25] INTERPRETACIÓN · I.7, propuesta 3 (adecuación de la alzada)</w:t>
      </w:r>
    </w:p>
    <w:p>
      <w:pPr>
        <w:pStyle w:val="CommentText"/>
      </w:pPr>
      <w:r>
        <w:rPr>
          <w:b/>
        </w:rPr>
        <w:t xml:space="preserve">Problema: </w:t>
      </w:r>
      <w:r>
        <w:t>Da por probado que la alzada es «el tramo del proceso ajeno al efecto de la reforma», cuando sus tiempos no se desagregaron.</w:t>
      </w:r>
    </w:p>
    <w:p>
      <w:pPr>
        <w:pStyle w:val="CommentText"/>
      </w:pPr>
      <w:r>
        <w:rPr>
          <w:b/>
        </w:rPr>
        <w:t xml:space="preserve">Contradice a: </w:t>
      </w:r>
      <w:r>
        <w:t>Cap. VII, 2.5 (RESULTADOS): «No permite concluir que la alzada carezca de cambios en su método de trabajo ni identificarla como principal origen de la demora».</w:t>
      </w:r>
    </w:p>
    <w:p>
      <w:pPr>
        <w:pStyle w:val="CommentText"/>
      </w:pPr>
      <w:r>
        <w:rPr>
          <w:b/>
        </w:rPr>
        <w:t xml:space="preserve">Cambiar por: </w:t>
      </w:r>
      <w:r>
        <w:t>«Medición de la duración por tramos (incluida la segunda instancia y los reenvíos) como base para decidir si la alzada requiere adecuarse a la estructura oral de la instancia.»</w:t>
      </w:r>
    </w:p>
  </w:comment>
  <w:comment w:id="26" w:author="Revisión de coherencia" w:initials="RC" w:date="2026-09-29T11:41:08Z">
    <w:p>
      <w:pPr>
        <w:pStyle w:val="CommentText"/>
      </w:pPr>
      <w:r>
        <w:rPr>
          <w:rStyle w:val="CommentReference"/>
        </w:rPr>
        <w:annotationRef/>
      </w:r>
      <w:r>
        <w:rPr>
          <w:b/>
        </w:rPr>
        <w:t>[A-26] INTERPRETACIÓN · I.8, primer párrafo</w:t>
      </w:r>
    </w:p>
    <w:p>
      <w:pPr>
        <w:pStyle w:val="CommentText"/>
      </w:pPr>
      <w:r>
        <w:rPr>
          <w:b/>
        </w:rPr>
        <w:t xml:space="preserve">Problema: </w:t>
      </w:r>
      <w:r>
        <w:t>Afirma una causalidad («acredita… es un producto») y propone medir la «concordancia entre lo saneado y lo valorado», indicador que no existe en el Cap. VI.</w:t>
      </w:r>
    </w:p>
    <w:p>
      <w:pPr>
        <w:pStyle w:val="CommentText"/>
      </w:pPr>
      <w:r>
        <w:rPr>
          <w:b/>
        </w:rPr>
        <w:t xml:space="preserve">Contradice a: </w:t>
      </w:r>
      <w:r>
        <w:t>Cap. VI, 1.1 (no atribución causal).</w:t>
      </w:r>
    </w:p>
    <w:p>
      <w:pPr>
        <w:pStyle w:val="CommentText"/>
      </w:pPr>
      <w:r>
        <w:rPr>
          <w:b/>
        </w:rPr>
        <w:t xml:space="preserve">Cambiar por: </w:t>
      </w:r>
      <w:r>
        <w:t>«…la investigación muestra que la concentración procesal se asocia al protocolo de audiencia y a su supervisión…» y sustituir «el seguimiento del porcentaje de concordancia» por «el seguimiento de los indicadores de la Tabla 4 y de las causales de la Tabla 6».</w:t>
      </w:r>
    </w:p>
  </w:comment>
  <w:comment w:id="27" w:author="Revisión de coherencia" w:initials="RC" w:date="2026-09-29T11:41:08Z">
    <w:p>
      <w:pPr>
        <w:pStyle w:val="CommentText"/>
      </w:pPr>
      <w:r>
        <w:rPr>
          <w:rStyle w:val="CommentReference"/>
        </w:rPr>
        <w:annotationRef/>
      </w:r>
      <w:r>
        <w:rPr>
          <w:b/>
        </w:rPr>
        <w:t>[A-27] CIFRA · I.8, segundo párrafo (sentencia en audiencia)</w:t>
      </w:r>
    </w:p>
    <w:p>
      <w:pPr>
        <w:pStyle w:val="CommentText"/>
      </w:pPr>
      <w:r>
        <w:rPr>
          <w:b/>
        </w:rPr>
        <w:t xml:space="preserve">Problema: </w:t>
      </w:r>
      <w:r>
        <w:t>Dice «once expedientes» con sentencia en audiencia, pero son cinco (4 + 1). Además, afirmar que «su extensión no compromete la debida motivación» excede lo que permiten esos datos.</w:t>
      </w:r>
    </w:p>
    <w:p>
      <w:pPr>
        <w:pStyle w:val="CommentText"/>
      </w:pPr>
      <w:r>
        <w:rPr>
          <w:b/>
        </w:rPr>
        <w:t xml:space="preserve">Contradice a: </w:t>
      </w:r>
      <w:r>
        <w:t>Tabla 4 y Cap. VII, 2.4 (RESULTADOS): «no demostrar su superioridad».</w:t>
      </w:r>
    </w:p>
    <w:p>
      <w:pPr>
        <w:pStyle w:val="CommentText"/>
      </w:pPr>
      <w:r>
        <w:rPr>
          <w:b/>
        </w:rPr>
        <w:t xml:space="preserve">Cambiar por: </w:t>
      </w:r>
      <w:r>
        <w:t>«…ninguno de los cinco expedientes con sentencia expedida dentro de la audiencia (cuatro del grupo Oralidad y uno del Tradicional) fue anulado por defecto de motivación. El dato, de base reducida, no es concluyente: justifica evaluar la práctica mediante un seguimiento impugnatorio, no afirmar que su extensión no compromete la motivación.»</w:t>
      </w:r>
    </w:p>
  </w:comment>
  <w:comment w:id="28" w:author="Revisión de coherencia" w:initials="RC" w:date="2026-09-29T11:41:08Z">
    <w:p>
      <w:pPr>
        <w:pStyle w:val="CommentText"/>
      </w:pPr>
      <w:r>
        <w:rPr>
          <w:rStyle w:val="CommentReference"/>
        </w:rPr>
        <w:annotationRef/>
      </w:r>
      <w:r>
        <w:rPr>
          <w:b/>
        </w:rPr>
        <w:t>[A-28] INTERPRETACIÓN · I.8, aporte metodológico</w:t>
      </w:r>
    </w:p>
    <w:p>
      <w:pPr>
        <w:pStyle w:val="CommentText"/>
      </w:pPr>
      <w:r>
        <w:rPr>
          <w:b/>
        </w:rPr>
        <w:t xml:space="preserve">Problema: </w:t>
      </w:r>
      <w:r>
        <w:t>La Tabla 1 es la serie de 2018 y la Tabla 3 muestra que los grupos no son equivalentes por vía.</w:t>
      </w:r>
    </w:p>
    <w:p>
      <w:pPr>
        <w:pStyle w:val="CommentText"/>
      </w:pPr>
      <w:r>
        <w:rPr>
          <w:b/>
        </w:rPr>
        <w:t xml:space="preserve">Contradice a: </w:t>
      </w:r>
      <w:r>
        <w:t>Cap. VI, Tabla 3; Cap. VII, 2.8.</w:t>
      </w:r>
    </w:p>
    <w:p>
      <w:pPr>
        <w:pStyle w:val="CommentText"/>
      </w:pPr>
      <w:r>
        <w:rPr>
          <w:b/>
        </w:rPr>
        <w:t xml:space="preserve">Cambiar por: </w:t>
      </w:r>
      <w:r>
        <w:t>«La caracterización del corpus por vía procesal y por hito de segunda instancia (Tabla 3), con declaración expresa de sus diferencias de composición, constituye un procedimiento transferible…»</w:t>
      </w:r>
    </w:p>
  </w:comment>
  <w:comment w:id="29" w:author="Revisión de coherencia" w:initials="RC" w:date="2026-09-29T11:41:08Z">
    <w:p>
      <w:pPr>
        <w:pStyle w:val="CommentText"/>
      </w:pPr>
      <w:r>
        <w:rPr>
          <w:rStyle w:val="CommentReference"/>
        </w:rPr>
        <w:annotationRef/>
      </w:r>
      <w:r>
        <w:rPr>
          <w:b/>
        </w:rPr>
        <w:t>[A-29] FORMA · I.8, aporte a la metodología de la discusión</w:t>
      </w:r>
    </w:p>
    <w:p>
      <w:pPr>
        <w:pStyle w:val="CommentText"/>
      </w:pPr>
      <w:r>
        <w:rPr>
          <w:b/>
        </w:rPr>
        <w:t xml:space="preserve">Problema: </w:t>
      </w:r>
      <w:r>
        <w:t>La matriz de Denzin no tiene número en el Cap. VII.</w:t>
      </w:r>
    </w:p>
    <w:p>
      <w:pPr>
        <w:pStyle w:val="CommentText"/>
      </w:pPr>
      <w:r>
        <w:rPr>
          <w:b/>
        </w:rPr>
        <w:t xml:space="preserve">Contradice a: </w:t>
      </w:r>
      <w:r>
        <w:t>Archivo RESULTADOS, 2.9 (R-15).</w:t>
      </w:r>
    </w:p>
    <w:p>
      <w:pPr>
        <w:pStyle w:val="CommentText"/>
      </w:pPr>
      <w:r>
        <w:rPr>
          <w:b/>
        </w:rPr>
        <w:t xml:space="preserve">Cambiar por: </w:t>
      </w:r>
      <w:r>
        <w:t>Usar el número que se asigne a la matriz (p. ej., Tabla 9).</w:t>
      </w:r>
    </w:p>
  </w:comment>
  <w:comment w:id="30" w:author="Revisión de coherencia" w:initials="RC" w:date="2026-09-29T11:41:08Z">
    <w:p>
      <w:pPr>
        <w:pStyle w:val="CommentText"/>
      </w:pPr>
      <w:r>
        <w:rPr>
          <w:rStyle w:val="CommentReference"/>
        </w:rPr>
        <w:annotationRef/>
      </w:r>
      <w:r>
        <w:rPr>
          <w:b/>
        </w:rPr>
        <w:t>[A-30] CIFRA · I.9, síntesis (primer párrafo)</w:t>
      </w:r>
    </w:p>
    <w:p>
      <w:pPr>
        <w:pStyle w:val="CommentText"/>
      </w:pPr>
      <w:r>
        <w:rPr>
          <w:b/>
        </w:rPr>
        <w:t xml:space="preserve">Problema: </w:t>
      </w:r>
      <w:r>
        <w:t>Usa cifras del corpus anterior (20,9 % → 77,2 %; 2,9 % → 60,0 %; 48,8 % → 19,3 %).</w:t>
      </w:r>
    </w:p>
    <w:p>
      <w:pPr>
        <w:pStyle w:val="CommentText"/>
      </w:pPr>
      <w:r>
        <w:rPr>
          <w:b/>
        </w:rPr>
        <w:t xml:space="preserve">Contradice a: </w:t>
      </w:r>
      <w:r>
        <w:t>Cap. VI, Tablas 1, 2, 4 y 6.</w:t>
      </w:r>
    </w:p>
    <w:p>
      <w:pPr>
        <w:pStyle w:val="CommentText"/>
      </w:pPr>
      <w:r>
        <w:rPr>
          <w:b/>
        </w:rPr>
        <w:t xml:space="preserve">Cambiar por: </w:t>
      </w:r>
      <w:r>
        <w:t>«Mi investigación muestra que el Modelo de Oralidad Civil… produce una efectividad positiva pero diferenciada: se asocia a una transformación de la gestión del proceso —la concentración pasa del 20,7 % al 71,3 %— y a una mayor estabilidad de las sentencias en las series anuales —la confirmación asciende del 65,5 % al 72,6 % y la revocación desciende del 12,8 % al 7,3 %—, pero no reduce el defecto de motivación de las sentencias anuladas, que se mantiene en proporciones semejantes (56,6 % y 57,7 %) y cambia de composición, ni acredita una reducción de la duración del proceso.»</w:t>
      </w:r>
    </w:p>
  </w:comment>
  <w:comment w:id="31" w:author="Revisión de coherencia" w:initials="RC" w:date="2026-09-29T11:41:08Z">
    <w:p>
      <w:pPr>
        <w:pStyle w:val="CommentText"/>
      </w:pPr>
      <w:r>
        <w:rPr>
          <w:rStyle w:val="CommentReference"/>
        </w:rPr>
        <w:annotationRef/>
      </w:r>
      <w:r>
        <w:rPr>
          <w:b/>
        </w:rPr>
        <w:t>[A-31] INTERPRETACIÓN · I.9, segundo párrafo</w:t>
      </w:r>
    </w:p>
    <w:p>
      <w:pPr>
        <w:pStyle w:val="CommentText"/>
      </w:pPr>
      <w:r>
        <w:rPr>
          <w:b/>
        </w:rPr>
        <w:t xml:space="preserve">Problema: </w:t>
      </w:r>
      <w:r>
        <w:t>Con los datos actuales, lo que más crece es la motivación insuficiente y la omisión de valoración, no la justificación externa.</w:t>
      </w:r>
    </w:p>
    <w:p>
      <w:pPr>
        <w:pStyle w:val="CommentText"/>
      </w:pPr>
      <w:r>
        <w:rPr>
          <w:b/>
        </w:rPr>
        <w:t xml:space="preserve">Contradice a: </w:t>
      </w:r>
      <w:r>
        <w:t>Tabla 6; Cap. VII, 2.3.</w:t>
      </w:r>
    </w:p>
    <w:p>
      <w:pPr>
        <w:pStyle w:val="CommentText"/>
      </w:pPr>
      <w:r>
        <w:rPr>
          <w:b/>
        </w:rPr>
        <w:t xml:space="preserve">Cambiar por: </w:t>
      </w:r>
      <w:r>
        <w:t>«…la individualización del saneamiento probatorio y la valoración completa de la prueba admitida en la motivación de la sentencia…»</w:t>
      </w:r>
    </w:p>
  </w:comment>
  <w:comment w:id="32" w:author="Revisión de coherencia" w:initials="RC" w:date="2026-09-29T11:41:08Z">
    <w:p>
      <w:pPr>
        <w:pStyle w:val="CommentText"/>
      </w:pPr>
      <w:r>
        <w:rPr>
          <w:rStyle w:val="CommentReference"/>
        </w:rPr>
        <w:annotationRef/>
      </w:r>
      <w:r>
        <w:rPr>
          <w:b/>
        </w:rPr>
        <w:t>[A-32] INTERPRETACIÓN · I.9, tercer párrafo</w:t>
      </w:r>
    </w:p>
    <w:p>
      <w:pPr>
        <w:pStyle w:val="CommentText"/>
      </w:pPr>
      <w:r>
        <w:rPr>
          <w:b/>
        </w:rPr>
        <w:t xml:space="preserve">Problema: </w:t>
      </w:r>
      <w:r>
        <w:t>(i) Dice «acreditarla empíricamente como la variable que explica el efecto», pero la trazabilidad/concordancia no se midió en el Cap. VI. (ii) Habla de un desplazamiento «hacia la justificación externa», cuando es hacia la insuficiencia. (iii) Menciona un «procedimiento de control de comparabilidad» (ver A-28).</w:t>
      </w:r>
    </w:p>
    <w:p>
      <w:pPr>
        <w:pStyle w:val="CommentText"/>
      </w:pPr>
      <w:r>
        <w:rPr>
          <w:b/>
        </w:rPr>
        <w:t xml:space="preserve">Contradice a: </w:t>
      </w:r>
      <w:r>
        <w:t>Cap. VII, 2.3 y 2.6 (RESULTADOS): «La concentración facilita su observación, pero no garantiza esa correspondencia».</w:t>
      </w:r>
    </w:p>
    <w:p>
      <w:pPr>
        <w:pStyle w:val="CommentText"/>
      </w:pPr>
      <w:r>
        <w:rPr>
          <w:b/>
        </w:rPr>
        <w:t xml:space="preserve">Cambiar por: </w:t>
      </w:r>
      <w:r>
        <w:t>«Mi aporte científico-jurídico consiste en delimitar la categoría de trazabilidad procesal como condición de verificabilidad del efecto del modelo sobre la sentencia; en aplicar sistemáticamente la tipología de vicios de motivación del caso Llamoja al proceso civil, lo que revela un desplazamiento del vicio desde la incongruencia hacia la motivación insuficiente; y en ofrecer un instrumento de análisis documental replicable, previa revisión de sus definiciones y criterios de codificación.»</w:t>
      </w:r>
    </w:p>
  </w:comment>
  <w:comment w:id="33" w:author="Revisión de coherencia" w:initials="RC" w:date="2026-09-29T11:41:08Z">
    <w:p>
      <w:pPr>
        <w:pStyle w:val="CommentText"/>
      </w:pPr>
      <w:r>
        <w:rPr>
          <w:rStyle w:val="CommentReference"/>
        </w:rPr>
        <w:annotationRef/>
      </w:r>
      <w:r>
        <w:rPr>
          <w:b/>
        </w:rPr>
        <w:t>[A-33] CIFRA · II. Conclusión primera</w:t>
      </w:r>
    </w:p>
    <w:p>
      <w:pPr>
        <w:pStyle w:val="CommentText"/>
      </w:pPr>
      <w:r>
        <w:rPr>
          <w:b/>
        </w:rPr>
        <w:t xml:space="preserve">Problema: </w:t>
      </w:r>
      <w:r>
        <w:t>Usa las cifras del corpus anterior (20,9 % → 77,2 %; 17,5 %; 19,3 %; 7,0 %) y afirma una causalidad («Se debe al protocolo… previstos en la R. A. N.º 049-2020-CE-PJ») que Resultados descarta.</w:t>
      </w:r>
    </w:p>
    <w:p>
      <w:pPr>
        <w:pStyle w:val="CommentText"/>
      </w:pPr>
      <w:r>
        <w:rPr>
          <w:b/>
        </w:rPr>
        <w:t xml:space="preserve">Contradice a: </w:t>
      </w:r>
      <w:r>
        <w:t>Tabla 4; Cap. VI, 1.1.</w:t>
      </w:r>
    </w:p>
    <w:p>
      <w:pPr>
        <w:pStyle w:val="CommentText"/>
      </w:pPr>
      <w:r>
        <w:rPr>
          <w:b/>
        </w:rPr>
        <w:t xml:space="preserve">Cambiar por: </w:t>
      </w:r>
      <w:r>
        <w:t>Reemplazar por la CONCLUSIÓN PRIMERA sugerida en el informe (Parte C).</w:t>
      </w:r>
    </w:p>
  </w:comment>
  <w:comment w:id="34" w:author="Revisión de coherencia" w:initials="RC" w:date="2026-09-29T11:41:08Z">
    <w:p>
      <w:pPr>
        <w:pStyle w:val="CommentText"/>
      </w:pPr>
      <w:r>
        <w:rPr>
          <w:rStyle w:val="CommentReference"/>
        </w:rPr>
        <w:annotationRef/>
      </w:r>
      <w:r>
        <w:rPr>
          <w:b/>
        </w:rPr>
        <w:t>[A-34] CIFRA · II. Conclusión segunda</w:t>
      </w:r>
    </w:p>
    <w:p>
      <w:pPr>
        <w:pStyle w:val="CommentText"/>
      </w:pPr>
      <w:r>
        <w:rPr>
          <w:b/>
        </w:rPr>
        <w:t xml:space="preserve">Problema: </w:t>
      </w:r>
      <w:r>
        <w:t>Usa cifras del corpus anterior (19,0 % → 40,5 %; 42,9 % → 24,3 %; 1,8 % → 9,3 %) y afirma una «mejor justificación interna» (b: 5 → 4 casos) y una disminución de la «omisión de regla vinculante», categoría no codificada.</w:t>
      </w:r>
    </w:p>
    <w:p>
      <w:pPr>
        <w:pStyle w:val="CommentText"/>
      </w:pPr>
      <w:r>
        <w:rPr>
          <w:b/>
        </w:rPr>
        <w:t xml:space="preserve">Contradice a: </w:t>
      </w:r>
      <w:r>
        <w:t>Tabla 6; Cap. VII, 2.3 y 2.7.</w:t>
      </w:r>
    </w:p>
    <w:p>
      <w:pPr>
        <w:pStyle w:val="CommentText"/>
      </w:pPr>
      <w:r>
        <w:rPr>
          <w:b/>
        </w:rPr>
        <w:t xml:space="preserve">Cambiar por: </w:t>
      </w:r>
      <w:r>
        <w:t>Reemplazar por la CONCLUSIÓN SEGUNDA sugerida en el informe (Parte C).</w:t>
      </w:r>
    </w:p>
  </w:comment>
  <w:comment w:id="35" w:author="Revisión de coherencia" w:initials="RC" w:date="2026-09-29T11:41:08Z">
    <w:p>
      <w:pPr>
        <w:pStyle w:val="CommentText"/>
      </w:pPr>
      <w:r>
        <w:rPr>
          <w:rStyle w:val="CommentReference"/>
        </w:rPr>
        <w:annotationRef/>
      </w:r>
      <w:r>
        <w:rPr>
          <w:b/>
        </w:rPr>
        <w:t>[A-35] INTERPRETACIÓN · II. Conclusión tercera</w:t>
      </w:r>
    </w:p>
    <w:p>
      <w:pPr>
        <w:pStyle w:val="CommentText"/>
      </w:pPr>
      <w:r>
        <w:rPr>
          <w:b/>
        </w:rPr>
        <w:t xml:space="preserve">Problema: </w:t>
      </w:r>
      <w:r>
        <w:t>El primer tramo (34,5 % → 27,4 %; 65,5 % → 72,6 %; 12,8 % → 7,3 %; 21,7 % y 20,1 %) es correcto. Pero la lista de defectos incluye categorías no codificadas o sin variación y repite la Conclusión 2; la duración no figura en el Cap. VI; y «porque la reforma… no cambió el método de trabajo de las Salas» es una atribución causal que la Discusión rechaza. Falta además una conclusión sobre el objetivo general y la hipótesis.</w:t>
      </w:r>
    </w:p>
    <w:p>
      <w:pPr>
        <w:pStyle w:val="CommentText"/>
      </w:pPr>
      <w:r>
        <w:rPr>
          <w:b/>
        </w:rPr>
        <w:t xml:space="preserve">Contradice a: </w:t>
      </w:r>
      <w:r>
        <w:t>Cap. VII, 2.5 y 2.7 (RESULTADOS).</w:t>
      </w:r>
    </w:p>
    <w:p>
      <w:pPr>
        <w:pStyle w:val="CommentText"/>
      </w:pPr>
      <w:r>
        <w:rPr>
          <w:b/>
        </w:rPr>
        <w:t xml:space="preserve">Cambiar por: </w:t>
      </w:r>
      <w:r>
        <w:t>Reemplazar por las CONCLUSIONES TERCERA y CUARTA sugeridas en el informe (Parte C).</w:t>
      </w:r>
    </w:p>
  </w:comment>
  <w:comment w:id="36" w:author="Revisión de coherencia" w:initials="RC" w:date="2026-09-29T11:41:08Z">
    <w:p>
      <w:pPr>
        <w:pStyle w:val="CommentText"/>
      </w:pPr>
      <w:r>
        <w:rPr>
          <w:rStyle w:val="CommentReference"/>
        </w:rPr>
        <w:annotationRef/>
      </w:r>
      <w:r>
        <w:rPr>
          <w:b/>
        </w:rPr>
        <w:t>[A-36] INTERPRETACIÓN · III. Recomendación 1 (CEPJ: incorporar al CPC)</w:t>
      </w:r>
    </w:p>
    <w:p>
      <w:pPr>
        <w:pStyle w:val="CommentText"/>
      </w:pPr>
      <w:r>
        <w:rPr>
          <w:b/>
        </w:rPr>
        <w:t xml:space="preserve">Problema: </w:t>
      </w:r>
      <w:r>
        <w:t>Recomienda directamente una reforma legal. Contiene además la errata «R. A. N.º 3122018-CE-PJ».</w:t>
      </w:r>
    </w:p>
    <w:p>
      <w:pPr>
        <w:pStyle w:val="CommentText"/>
      </w:pPr>
      <w:r>
        <w:rPr>
          <w:b/>
        </w:rPr>
        <w:t xml:space="preserve">Contradice a: </w:t>
      </w:r>
      <w:r>
        <w:t>Cap. VII, 2.5 (RESULTADOS): «La frecuencia reducida de un registro no permite concluir que deba incorporarse una nueva disposición al Código Procesal Civil».</w:t>
      </w:r>
    </w:p>
    <w:p>
      <w:pPr>
        <w:pStyle w:val="CommentText"/>
      </w:pPr>
      <w:r>
        <w:rPr>
          <w:b/>
        </w:rPr>
        <w:t xml:space="preserve">Cambiar por: </w:t>
      </w:r>
      <w:r>
        <w:t>Reemplazar por la Propuesta de recomendaciones (informe, Parte D); la reforma legal pasa a ser una evaluación condicionada (recomendación sexta).</w:t>
      </w:r>
    </w:p>
  </w:comment>
  <w:comment w:id="37" w:author="Revisión de coherencia" w:initials="RC" w:date="2026-09-29T11:41:08Z">
    <w:p>
      <w:pPr>
        <w:pStyle w:val="CommentText"/>
      </w:pPr>
      <w:r>
        <w:rPr>
          <w:rStyle w:val="CommentReference"/>
        </w:rPr>
        <w:annotationRef/>
      </w:r>
      <w:r>
        <w:rPr>
          <w:b/>
        </w:rPr>
        <w:t>[A-37] FORMA · III. Recomendación 2 (protocolo de acta)</w:t>
      </w:r>
    </w:p>
    <w:p>
      <w:pPr>
        <w:pStyle w:val="CommentText"/>
      </w:pPr>
      <w:r>
        <w:rPr>
          <w:b/>
        </w:rPr>
        <w:t xml:space="preserve">Problema: </w:t>
      </w:r>
      <w:r>
        <w:t>Es coherente con los resultados, pero el indicador no tiene línea base ni meta, y la «finalidad» atribuye la marginalidad a los abogados.</w:t>
      </w:r>
    </w:p>
    <w:p>
      <w:pPr>
        <w:pStyle w:val="CommentText"/>
      </w:pPr>
      <w:r>
        <w:rPr>
          <w:b/>
        </w:rPr>
        <w:t xml:space="preserve">Contradice a: </w:t>
      </w:r>
      <w:r>
        <w:t>—</w:t>
      </w:r>
    </w:p>
    <w:p>
      <w:pPr>
        <w:pStyle w:val="CommentText"/>
      </w:pPr>
      <w:r>
        <w:rPr>
          <w:b/>
        </w:rPr>
        <w:t xml:space="preserve">Cambiar por: </w:t>
      </w:r>
      <w:r>
        <w:t>Se conserva, ampliada, como recomendación primera de la propuesta (línea base: 16,3 % de hechos no controvertidos; 0 % de convenciones).</w:t>
      </w:r>
    </w:p>
  </w:comment>
  <w:comment w:id="38" w:author="Revisión de coherencia" w:initials="RC" w:date="2026-09-29T11:41:08Z">
    <w:p>
      <w:pPr>
        <w:pStyle w:val="CommentText"/>
      </w:pPr>
      <w:r>
        <w:rPr>
          <w:rStyle w:val="CommentReference"/>
        </w:rPr>
        <w:annotationRef/>
      </w:r>
      <w:r>
        <w:rPr>
          <w:b/>
        </w:rPr>
        <w:t>[A-38] INTERPRETACIÓN · III. Recomendación 3 (apelación)</w:t>
      </w:r>
    </w:p>
    <w:p>
      <w:pPr>
        <w:pStyle w:val="CommentText"/>
      </w:pPr>
      <w:r>
        <w:rPr>
          <w:b/>
        </w:rPr>
        <w:t xml:space="preserve">Problema: </w:t>
      </w:r>
      <w:r>
        <w:t>Da por probado que la alzada es el «cuello de botella» sin que los tiempos se hayan desagregado, y la duración no figura en el Cap. VI.</w:t>
      </w:r>
    </w:p>
    <w:p>
      <w:pPr>
        <w:pStyle w:val="CommentText"/>
      </w:pPr>
      <w:r>
        <w:rPr>
          <w:b/>
        </w:rPr>
        <w:t xml:space="preserve">Contradice a: </w:t>
      </w:r>
      <w:r>
        <w:t>Cap. VII, 2.5 (RESULTADOS): «No permite… identificarla como principal origen de la demora sin desagregar los tiempos del proceso».</w:t>
      </w:r>
    </w:p>
    <w:p>
      <w:pPr>
        <w:pStyle w:val="CommentText"/>
      </w:pPr>
      <w:r>
        <w:rPr>
          <w:b/>
        </w:rPr>
        <w:t xml:space="preserve">Cambiar por: </w:t>
      </w:r>
      <w:r>
        <w:t>Reemplazar por la recomendación cuarta de la propuesta (medición por tramos como base para decidir la adecuación de la alzada).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65AC"/>
    <w:multiLevelType w:val="hybridMultilevel"/>
    <w:tmpl w:val="95D6CCC0"/>
    <w:lvl w:ilvl="0" w:tplc="7F567FFC">
      <w:start w:val="1"/>
      <w:numFmt w:val="decimal"/>
      <w:lvlText w:val="%1."/>
      <w:lvlJc w:val="left"/>
      <w:pPr>
        <w:ind w:left="720" w:hanging="360"/>
      </w:pPr>
    </w:lvl>
    <w:lvl w:ilvl="1" w:tplc="80EEB238">
      <w:start w:val="1"/>
      <w:numFmt w:val="lowerLetter"/>
      <w:lvlText w:val="%2."/>
      <w:lvlJc w:val="left"/>
      <w:pPr>
        <w:ind w:left="1440" w:hanging="360"/>
      </w:pPr>
    </w:lvl>
    <w:lvl w:ilvl="2" w:tplc="AFD88510">
      <w:start w:val="1"/>
      <w:numFmt w:val="lowerRoman"/>
      <w:lvlText w:val="%3."/>
      <w:lvlJc w:val="left"/>
      <w:pPr>
        <w:ind w:left="2160" w:hanging="360"/>
      </w:pPr>
    </w:lvl>
    <w:lvl w:ilvl="3" w:tplc="6024C0F8">
      <w:start w:val="1"/>
      <w:numFmt w:val="decimal"/>
      <w:lvlText w:val="%4."/>
      <w:lvlJc w:val="left"/>
      <w:pPr>
        <w:ind w:left="2880" w:hanging="360"/>
      </w:pPr>
    </w:lvl>
    <w:lvl w:ilvl="4" w:tplc="86D624DA">
      <w:start w:val="1"/>
      <w:numFmt w:val="lowerLetter"/>
      <w:lvlText w:val="%5."/>
      <w:lvlJc w:val="left"/>
      <w:pPr>
        <w:ind w:left="3600" w:hanging="360"/>
      </w:pPr>
    </w:lvl>
    <w:lvl w:ilvl="5" w:tplc="03064F4C">
      <w:start w:val="1"/>
      <w:numFmt w:val="lowerRoman"/>
      <w:lvlText w:val="%6."/>
      <w:lvlJc w:val="left"/>
      <w:pPr>
        <w:ind w:left="4320" w:hanging="360"/>
      </w:pPr>
    </w:lvl>
    <w:lvl w:ilvl="6" w:tplc="926EF59C">
      <w:start w:val="1"/>
      <w:numFmt w:val="decimal"/>
      <w:lvlText w:val="%7."/>
      <w:lvlJc w:val="left"/>
      <w:pPr>
        <w:ind w:left="5040" w:hanging="360"/>
      </w:pPr>
    </w:lvl>
    <w:lvl w:ilvl="7" w:tplc="243C9176">
      <w:start w:val="1"/>
      <w:numFmt w:val="lowerLetter"/>
      <w:lvlText w:val="%8."/>
      <w:lvlJc w:val="left"/>
      <w:pPr>
        <w:ind w:left="5760" w:hanging="360"/>
      </w:pPr>
    </w:lvl>
    <w:lvl w:ilvl="8" w:tplc="D8108BE6">
      <w:start w:val="1"/>
      <w:numFmt w:val="lowerRoman"/>
      <w:lvlText w:val="%9."/>
      <w:lvlJc w:val="left"/>
      <w:pPr>
        <w:ind w:left="6480" w:hanging="360"/>
      </w:pPr>
    </w:lvl>
  </w:abstractNum>
  <w:abstractNum w:abstractNumId="1" w15:restartNumberingAfterBreak="0">
    <w:nsid w:val="682053E4"/>
    <w:multiLevelType w:val="hybridMultilevel"/>
    <w:tmpl w:val="4502E1E8"/>
    <w:lvl w:ilvl="0" w:tplc="FBDCD7C6">
      <w:start w:val="1"/>
      <w:numFmt w:val="bullet"/>
      <w:lvlText w:val="•"/>
      <w:lvlJc w:val="left"/>
      <w:pPr>
        <w:ind w:left="720" w:hanging="360"/>
      </w:pPr>
    </w:lvl>
    <w:lvl w:ilvl="1" w:tplc="837E21F2">
      <w:start w:val="1"/>
      <w:numFmt w:val="bullet"/>
      <w:lvlText w:val="o"/>
      <w:lvlJc w:val="left"/>
      <w:pPr>
        <w:ind w:left="1440" w:hanging="360"/>
      </w:pPr>
    </w:lvl>
    <w:lvl w:ilvl="2" w:tplc="83FE2156">
      <w:start w:val="1"/>
      <w:numFmt w:val="bullet"/>
      <w:lvlText w:val="▪"/>
      <w:lvlJc w:val="left"/>
      <w:pPr>
        <w:ind w:left="2160" w:hanging="360"/>
      </w:pPr>
    </w:lvl>
    <w:lvl w:ilvl="3" w:tplc="42E6DB9C">
      <w:start w:val="1"/>
      <w:numFmt w:val="bullet"/>
      <w:lvlText w:val="•"/>
      <w:lvlJc w:val="left"/>
      <w:pPr>
        <w:ind w:left="2880" w:hanging="360"/>
      </w:pPr>
    </w:lvl>
    <w:lvl w:ilvl="4" w:tplc="83328FB8">
      <w:start w:val="1"/>
      <w:numFmt w:val="bullet"/>
      <w:lvlText w:val="o"/>
      <w:lvlJc w:val="left"/>
      <w:pPr>
        <w:ind w:left="3600" w:hanging="360"/>
      </w:pPr>
    </w:lvl>
    <w:lvl w:ilvl="5" w:tplc="2EB4277E">
      <w:start w:val="1"/>
      <w:numFmt w:val="bullet"/>
      <w:lvlText w:val="▪"/>
      <w:lvlJc w:val="left"/>
      <w:pPr>
        <w:ind w:left="4320" w:hanging="360"/>
      </w:pPr>
    </w:lvl>
    <w:lvl w:ilvl="6" w:tplc="71821320">
      <w:start w:val="1"/>
      <w:numFmt w:val="bullet"/>
      <w:lvlText w:val="•"/>
      <w:lvlJc w:val="left"/>
      <w:pPr>
        <w:ind w:left="5040" w:hanging="360"/>
      </w:pPr>
    </w:lvl>
    <w:lvl w:ilvl="7" w:tplc="17DA43F0">
      <w:start w:val="1"/>
      <w:numFmt w:val="bullet"/>
      <w:lvlText w:val="o"/>
      <w:lvlJc w:val="left"/>
      <w:pPr>
        <w:ind w:left="5760" w:hanging="360"/>
      </w:pPr>
    </w:lvl>
    <w:lvl w:ilvl="8" w:tplc="A01265CE">
      <w:start w:val="1"/>
      <w:numFmt w:val="bullet"/>
      <w:lvlText w:val="▪"/>
      <w:lvlJc w:val="left"/>
      <w:pPr>
        <w:ind w:left="6480" w:hanging="360"/>
      </w:pPr>
    </w:lvl>
  </w:abstractNum>
  <w:num w:numId="1" w16cid:durableId="156189807">
    <w:abstractNumId w:val="1"/>
  </w:num>
  <w:num w:numId="2" w16cid:durableId="1618756695">
    <w:abstractNumId w:val="1"/>
  </w:num>
  <w:num w:numId="3" w16cid:durableId="146678877">
    <w:abstractNumId w:val="1"/>
  </w:num>
  <w:num w:numId="4" w16cid:durableId="254363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ADA"/>
    <w:rsid w:val="000B3761"/>
    <w:rsid w:val="00190C32"/>
    <w:rsid w:val="003111DB"/>
    <w:rsid w:val="0037369F"/>
    <w:rsid w:val="004D0ADA"/>
    <w:rsid w:val="00AB6508"/>
    <w:rsid w:val="00C23A8D"/>
    <w:rsid w:val="00D879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EE83"/>
  <w15:docId w15:val="{C2345182-B2C6-48FD-9CA1-A8AE6917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3705</Words>
  <Characters>20378</Characters>
  <Application>Microsoft Office Word</Application>
  <DocSecurity>0</DocSecurity>
  <Lines>169</Lines>
  <Paragraphs>48</Paragraphs>
  <ScaleCrop>false</ScaleCrop>
  <Company/>
  <LinksUpToDate>false</LinksUpToDate>
  <CharactersWithSpaces>24035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Aporte, conclusiones y recomendaciones</dc:title>
  <dc:creator>casapc</dc:creator>
  <dc:description>Claude Docs node/c7e43178-553b@7 docx-w5</dc:description>
  <cp:lastModifiedBy>ALUMNO - JUAN MESABEL QUISPE LEON</cp:lastModifiedBy>
  <cp:revision>5</cp:revision>
  <dcterms:created xsi:type="dcterms:W3CDTF">2026-09-19T04:48:00Z</dcterms:created>
  <dcterms:modified xsi:type="dcterms:W3CDTF">2026-09-29T02:40:00Z</dcterms:modified>
</cp:coreProperties>
</file>