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CAPÍTULO VI</w:t>
      </w:r>
    </w:p>
    <w:p>
      <w:pPr>
        <w:pStyle w:val="Heading1"/>
        <w:jc w:val="center"/>
      </w:pPr>
      <w:r>
        <w:t>RESULTADOS</w:t>
      </w:r>
    </w:p>
    <w:p>
      <w:pPr>
        <w:spacing w:after="120" w:line="360" w:lineRule="auto"/>
        <w:jc w:val="both"/>
      </w:pPr>
      <w:r>
        <w:rPr>
          <w:b w:val="0"/>
          <w:i w:val="0"/>
        </w:rPr>
        <w:t>La presente investigación tiene por objetivo general evaluar la efectividad del Modelo de Oralidad Civil en las sentencias de los Juzgados Civiles de la Sede Central de la Corte Superior de Justicia de Arequipa, y como objetivos específicos: a) analizar el Modelo de Oralidad Civil implementado en los referidos juzgados, y b) analizar las sentencias expedidas por estos y sus consecuencias procesales. En tal sentido, corresponde en este capítulo exponer los resultados obtenidos mediante la aplicación de la ficha de análisis documental y desarrollar la discusión correspondiente, para culminar de forma secuencial con las conclusiones del trabajo.</w:t>
      </w:r>
    </w:p>
    <w:p>
      <w:pPr>
        <w:spacing w:after="120" w:line="360" w:lineRule="auto"/>
        <w:jc w:val="both"/>
      </w:pPr>
      <w:r>
        <w:rPr>
          <w:b w:val="0"/>
          <w:i w:val="0"/>
        </w:rPr>
        <w:t>La discusión que a continuación se desarrolla no plantea un juicio global sobre la reforma judicial, sino la verificación empírica de las categorías de estudio.</w:t>
      </w:r>
    </w:p>
    <w:p>
      <w:pPr>
        <w:spacing w:after="0" w:line="240" w:lineRule="auto" w:before="240"/>
        <w:jc w:val="left"/>
      </w:pPr>
      <w:r>
        <w:rPr>
          <w:b/>
          <w:i w:val="0"/>
        </w:rPr>
        <w:t>Tabla 1</w:t>
      </w:r>
    </w:p>
    <w:p>
      <w:pPr>
        <w:spacing w:after="120" w:line="276" w:lineRule="auto"/>
        <w:jc w:val="left"/>
      </w:pPr>
      <w:r>
        <w:rPr>
          <w:b w:val="0"/>
          <w:i/>
        </w:rPr>
        <w:t>Resultado de las sentencias de segunda instancia, año 2018</w:t>
      </w:r>
    </w:p>
    <w:tbl>
      <w:tblPr>
        <w:tblW w:type="dxa" w:w="76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00"/>
        <w:gridCol w:w="2000"/>
        <w:gridCol w:w="2000"/>
      </w:tblGrid>
      <w:tr>
        <w:tc>
          <w:tcPr>
            <w:tcW w:type="dxa" w:w="3600"/>
            <w:vAlign w:val="center"/>
          </w:tcPr>
          <w:p>
            <w:pPr>
              <w:spacing w:line="240" w:lineRule="auto" w:before="60" w:after="60"/>
              <w:jc w:val="left"/>
            </w:pPr>
            <w:r>
              <w:rPr>
                <w:b/>
                <w:i w:val="0"/>
                <w:sz w:val="22"/>
              </w:rPr>
              <w:t>Resultado de la sentencia</w:t>
            </w:r>
          </w:p>
        </w:tc>
        <w:tc>
          <w:tcPr>
            <w:tcW w:type="dxa" w:w="2000"/>
            <w:vAlign w:val="center"/>
          </w:tcPr>
          <w:p>
            <w:pPr>
              <w:spacing w:line="240" w:lineRule="auto" w:before="60" w:after="60"/>
              <w:jc w:val="center"/>
            </w:pPr>
            <w:r>
              <w:rPr>
                <w:b/>
                <w:i w:val="0"/>
                <w:sz w:val="22"/>
              </w:rPr>
              <w:t>Frecuencia</w:t>
            </w:r>
          </w:p>
        </w:tc>
        <w:tc>
          <w:tcPr>
            <w:tcW w:type="dxa" w:w="2000"/>
            <w:vAlign w:val="center"/>
          </w:tcPr>
          <w:p>
            <w:pPr>
              <w:spacing w:line="240" w:lineRule="auto" w:before="60" w:after="60"/>
              <w:jc w:val="center"/>
            </w:pPr>
            <w:r>
              <w:rPr>
                <w:b/>
                <w:i w:val="0"/>
                <w:sz w:val="22"/>
              </w:rPr>
              <w:t>Porcentaje</w:t>
            </w:r>
          </w:p>
        </w:tc>
      </w:tr>
      <w:tr>
        <w:tc>
          <w:tcPr>
            <w:tcW w:type="dxa" w:w="3600"/>
            <w:vAlign w:val="center"/>
          </w:tcPr>
          <w:p>
            <w:pPr>
              <w:spacing w:line="240" w:lineRule="auto" w:before="60" w:after="60"/>
              <w:jc w:val="left"/>
            </w:pPr>
            <w:r>
              <w:rPr>
                <w:b w:val="0"/>
                <w:i w:val="0"/>
                <w:sz w:val="22"/>
              </w:rPr>
              <w:t>Anulada</w:t>
            </w:r>
          </w:p>
        </w:tc>
        <w:tc>
          <w:tcPr>
            <w:tcW w:type="dxa" w:w="2000"/>
            <w:vAlign w:val="center"/>
          </w:tcPr>
          <w:p>
            <w:pPr>
              <w:spacing w:line="240" w:lineRule="auto" w:before="60" w:after="60"/>
              <w:jc w:val="center"/>
            </w:pPr>
            <w:r>
              <w:rPr>
                <w:b w:val="0"/>
                <w:i w:val="0"/>
                <w:sz w:val="22"/>
              </w:rPr>
              <w:t>61</w:t>
            </w:r>
          </w:p>
        </w:tc>
        <w:tc>
          <w:tcPr>
            <w:tcW w:type="dxa" w:w="2000"/>
            <w:vAlign w:val="center"/>
          </w:tcPr>
          <w:p>
            <w:pPr>
              <w:spacing w:line="240" w:lineRule="auto" w:before="60" w:after="60"/>
              <w:jc w:val="center"/>
            </w:pPr>
            <w:r>
              <w:rPr>
                <w:b w:val="0"/>
                <w:i w:val="0"/>
                <w:sz w:val="22"/>
              </w:rPr>
              <w:t>21,7 %</w:t>
            </w:r>
          </w:p>
        </w:tc>
      </w:tr>
      <w:tr>
        <w:tc>
          <w:tcPr>
            <w:tcW w:type="dxa" w:w="3600"/>
            <w:vAlign w:val="center"/>
          </w:tcPr>
          <w:p>
            <w:pPr>
              <w:spacing w:line="240" w:lineRule="auto" w:before="60" w:after="60"/>
              <w:jc w:val="left"/>
            </w:pPr>
            <w:r>
              <w:rPr>
                <w:b w:val="0"/>
                <w:i w:val="0"/>
                <w:sz w:val="22"/>
              </w:rPr>
              <w:t>Confirmada</w:t>
            </w:r>
          </w:p>
        </w:tc>
        <w:tc>
          <w:tcPr>
            <w:tcW w:type="dxa" w:w="2000"/>
            <w:vAlign w:val="center"/>
          </w:tcPr>
          <w:p>
            <w:pPr>
              <w:spacing w:line="240" w:lineRule="auto" w:before="60" w:after="60"/>
              <w:jc w:val="center"/>
            </w:pPr>
            <w:r>
              <w:rPr>
                <w:b w:val="0"/>
                <w:i w:val="0"/>
                <w:sz w:val="22"/>
              </w:rPr>
              <w:t>184</w:t>
            </w:r>
          </w:p>
        </w:tc>
        <w:tc>
          <w:tcPr>
            <w:tcW w:type="dxa" w:w="2000"/>
            <w:vAlign w:val="center"/>
          </w:tcPr>
          <w:p>
            <w:pPr>
              <w:spacing w:line="240" w:lineRule="auto" w:before="60" w:after="60"/>
              <w:jc w:val="center"/>
            </w:pPr>
            <w:r>
              <w:rPr>
                <w:b w:val="0"/>
                <w:i w:val="0"/>
                <w:sz w:val="22"/>
              </w:rPr>
              <w:t>65,5 %</w:t>
            </w:r>
          </w:p>
        </w:tc>
      </w:tr>
      <w:tr>
        <w:tc>
          <w:tcPr>
            <w:tcW w:type="dxa" w:w="3600"/>
            <w:vAlign w:val="center"/>
          </w:tcPr>
          <w:p>
            <w:pPr>
              <w:spacing w:line="240" w:lineRule="auto" w:before="60" w:after="60"/>
              <w:jc w:val="left"/>
            </w:pPr>
            <w:r>
              <w:rPr>
                <w:b w:val="0"/>
                <w:i w:val="0"/>
                <w:sz w:val="22"/>
              </w:rPr>
              <w:t>Revocada</w:t>
            </w:r>
          </w:p>
        </w:tc>
        <w:tc>
          <w:tcPr>
            <w:tcW w:type="dxa" w:w="2000"/>
            <w:vAlign w:val="center"/>
          </w:tcPr>
          <w:p>
            <w:pPr>
              <w:spacing w:line="240" w:lineRule="auto" w:before="60" w:after="60"/>
              <w:jc w:val="center"/>
            </w:pPr>
            <w:r>
              <w:rPr>
                <w:b w:val="0"/>
                <w:i w:val="0"/>
                <w:sz w:val="22"/>
              </w:rPr>
              <w:t>36</w:t>
            </w:r>
          </w:p>
        </w:tc>
        <w:tc>
          <w:tcPr>
            <w:tcW w:type="dxa" w:w="2000"/>
            <w:vAlign w:val="center"/>
          </w:tcPr>
          <w:p>
            <w:pPr>
              <w:spacing w:line="240" w:lineRule="auto" w:before="60" w:after="60"/>
              <w:jc w:val="center"/>
            </w:pPr>
            <w:r>
              <w:rPr>
                <w:b w:val="0"/>
                <w:i w:val="0"/>
                <w:sz w:val="22"/>
              </w:rPr>
              <w:t>12,8 %</w:t>
            </w:r>
          </w:p>
        </w:tc>
      </w:tr>
      <w:tr>
        <w:tc>
          <w:tcPr>
            <w:tcW w:type="dxa" w:w="3600"/>
            <w:vAlign w:val="center"/>
          </w:tcPr>
          <w:p>
            <w:pPr>
              <w:spacing w:line="240" w:lineRule="auto" w:before="60" w:after="60"/>
              <w:jc w:val="left"/>
            </w:pPr>
            <w:r>
              <w:rPr>
                <w:b/>
                <w:i w:val="0"/>
                <w:sz w:val="22"/>
              </w:rPr>
              <w:t>Total</w:t>
            </w:r>
          </w:p>
        </w:tc>
        <w:tc>
          <w:tcPr>
            <w:tcW w:type="dxa" w:w="2000"/>
            <w:vAlign w:val="center"/>
          </w:tcPr>
          <w:p>
            <w:pPr>
              <w:spacing w:line="240" w:lineRule="auto" w:before="60" w:after="60"/>
              <w:jc w:val="center"/>
            </w:pPr>
            <w:r>
              <w:rPr>
                <w:b/>
                <w:i w:val="0"/>
                <w:sz w:val="22"/>
              </w:rPr>
              <w:t>281</w:t>
            </w:r>
          </w:p>
        </w:tc>
        <w:tc>
          <w:tcPr>
            <w:tcW w:type="dxa" w:w="2000"/>
            <w:vAlign w:val="center"/>
          </w:tcPr>
          <w:p>
            <w:pPr>
              <w:spacing w:line="240" w:lineRule="auto" w:before="60" w:after="60"/>
              <w:jc w:val="center"/>
            </w:pPr>
            <w:r>
              <w:rPr>
                <w:b/>
                <w:i w:val="0"/>
                <w:sz w:val="22"/>
              </w:rPr>
              <w:t>100,0 %</w:t>
            </w:r>
          </w:p>
        </w:tc>
      </w:tr>
    </w:tbl>
    <w:p>
      <w:pPr>
        <w:spacing w:line="240" w:lineRule="auto" w:after="240" w:before="60"/>
        <w:jc w:val="both"/>
      </w:pPr>
      <w:r>
        <w:rPr>
          <w:i/>
          <w:sz w:val="20"/>
        </w:rPr>
        <w:t xml:space="preserve">Nota. </w:t>
      </w:r>
      <w:r>
        <w:rPr>
          <w:sz w:val="20"/>
        </w:rPr>
        <w:t>Elaboración propia.</w:t>
      </w:r>
    </w:p>
    <w:p>
      <w:pPr>
        <w:spacing w:after="0" w:line="240" w:lineRule="auto" w:before="240"/>
        <w:jc w:val="left"/>
      </w:pPr>
      <w:r>
        <w:rPr>
          <w:b/>
          <w:i w:val="0"/>
        </w:rPr>
        <w:t>Tabla 2</w:t>
      </w:r>
    </w:p>
    <w:p>
      <w:pPr>
        <w:spacing w:after="120" w:line="276" w:lineRule="auto"/>
        <w:jc w:val="left"/>
      </w:pPr>
      <w:r>
        <w:rPr>
          <w:b w:val="0"/>
          <w:i/>
        </w:rPr>
        <w:t>Resultado de las sentencias de segunda instancia, año 2024</w:t>
      </w:r>
    </w:p>
    <w:tbl>
      <w:tblPr>
        <w:tblW w:type="dxa" w:w="76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00"/>
        <w:gridCol w:w="2000"/>
        <w:gridCol w:w="2000"/>
      </w:tblGrid>
      <w:tr>
        <w:tc>
          <w:tcPr>
            <w:tcW w:type="dxa" w:w="3600"/>
            <w:vAlign w:val="center"/>
          </w:tcPr>
          <w:p>
            <w:pPr>
              <w:spacing w:line="240" w:lineRule="auto" w:before="60" w:after="60"/>
              <w:jc w:val="left"/>
            </w:pPr>
            <w:r>
              <w:rPr>
                <w:b/>
                <w:i w:val="0"/>
                <w:sz w:val="22"/>
              </w:rPr>
              <w:t>Resultado de la sentencia</w:t>
            </w:r>
          </w:p>
        </w:tc>
        <w:tc>
          <w:tcPr>
            <w:tcW w:type="dxa" w:w="2000"/>
            <w:vAlign w:val="center"/>
          </w:tcPr>
          <w:p>
            <w:pPr>
              <w:spacing w:line="240" w:lineRule="auto" w:before="60" w:after="60"/>
              <w:jc w:val="center"/>
            </w:pPr>
            <w:r>
              <w:rPr>
                <w:b/>
                <w:i w:val="0"/>
                <w:sz w:val="22"/>
              </w:rPr>
              <w:t>Frecuencia</w:t>
            </w:r>
          </w:p>
        </w:tc>
        <w:tc>
          <w:tcPr>
            <w:tcW w:type="dxa" w:w="2000"/>
            <w:vAlign w:val="center"/>
          </w:tcPr>
          <w:p>
            <w:pPr>
              <w:spacing w:line="240" w:lineRule="auto" w:before="60" w:after="60"/>
              <w:jc w:val="center"/>
            </w:pPr>
            <w:r>
              <w:rPr>
                <w:b/>
                <w:i w:val="0"/>
                <w:sz w:val="22"/>
              </w:rPr>
              <w:t>Porcentaje</w:t>
            </w:r>
          </w:p>
        </w:tc>
      </w:tr>
      <w:tr>
        <w:tc>
          <w:tcPr>
            <w:tcW w:type="dxa" w:w="3600"/>
            <w:vAlign w:val="center"/>
          </w:tcPr>
          <w:p>
            <w:pPr>
              <w:spacing w:line="240" w:lineRule="auto" w:before="60" w:after="60"/>
              <w:jc w:val="left"/>
            </w:pPr>
            <w:r>
              <w:rPr>
                <w:b w:val="0"/>
                <w:i w:val="0"/>
                <w:sz w:val="22"/>
              </w:rPr>
              <w:t>Anulada</w:t>
            </w:r>
          </w:p>
        </w:tc>
        <w:tc>
          <w:tcPr>
            <w:tcW w:type="dxa" w:w="2000"/>
            <w:vAlign w:val="center"/>
          </w:tcPr>
          <w:p>
            <w:pPr>
              <w:spacing w:line="240" w:lineRule="auto" w:before="60" w:after="60"/>
              <w:jc w:val="center"/>
            </w:pPr>
            <w:r>
              <w:rPr>
                <w:b w:val="0"/>
                <w:i w:val="0"/>
                <w:sz w:val="22"/>
              </w:rPr>
              <w:t>66</w:t>
            </w:r>
          </w:p>
        </w:tc>
        <w:tc>
          <w:tcPr>
            <w:tcW w:type="dxa" w:w="2000"/>
            <w:vAlign w:val="center"/>
          </w:tcPr>
          <w:p>
            <w:pPr>
              <w:spacing w:line="240" w:lineRule="auto" w:before="60" w:after="60"/>
              <w:jc w:val="center"/>
            </w:pPr>
            <w:r>
              <w:rPr>
                <w:b w:val="0"/>
                <w:i w:val="0"/>
                <w:sz w:val="22"/>
              </w:rPr>
              <w:t>20,1 %</w:t>
            </w:r>
          </w:p>
        </w:tc>
      </w:tr>
      <w:tr>
        <w:tc>
          <w:tcPr>
            <w:tcW w:type="dxa" w:w="3600"/>
            <w:vAlign w:val="center"/>
          </w:tcPr>
          <w:p>
            <w:pPr>
              <w:spacing w:line="240" w:lineRule="auto" w:before="60" w:after="60"/>
              <w:jc w:val="left"/>
            </w:pPr>
            <w:r>
              <w:rPr>
                <w:b w:val="0"/>
                <w:i w:val="0"/>
                <w:sz w:val="22"/>
              </w:rPr>
              <w:t>Confirmada</w:t>
            </w:r>
          </w:p>
        </w:tc>
        <w:tc>
          <w:tcPr>
            <w:tcW w:type="dxa" w:w="2000"/>
            <w:vAlign w:val="center"/>
          </w:tcPr>
          <w:p>
            <w:pPr>
              <w:spacing w:line="240" w:lineRule="auto" w:before="60" w:after="60"/>
              <w:jc w:val="center"/>
            </w:pPr>
            <w:r>
              <w:rPr>
                <w:b w:val="0"/>
                <w:i w:val="0"/>
                <w:sz w:val="22"/>
              </w:rPr>
              <w:t>238</w:t>
            </w:r>
          </w:p>
        </w:tc>
        <w:tc>
          <w:tcPr>
            <w:tcW w:type="dxa" w:w="2000"/>
            <w:vAlign w:val="center"/>
          </w:tcPr>
          <w:p>
            <w:pPr>
              <w:spacing w:line="240" w:lineRule="auto" w:before="60" w:after="60"/>
              <w:jc w:val="center"/>
            </w:pPr>
            <w:r>
              <w:rPr>
                <w:b w:val="0"/>
                <w:i w:val="0"/>
                <w:sz w:val="22"/>
              </w:rPr>
              <w:t>72,6 %</w:t>
            </w:r>
          </w:p>
        </w:tc>
      </w:tr>
      <w:tr>
        <w:tc>
          <w:tcPr>
            <w:tcW w:type="dxa" w:w="3600"/>
            <w:vAlign w:val="center"/>
          </w:tcPr>
          <w:p>
            <w:pPr>
              <w:spacing w:line="240" w:lineRule="auto" w:before="60" w:after="60"/>
              <w:jc w:val="left"/>
            </w:pPr>
            <w:r>
              <w:rPr>
                <w:b w:val="0"/>
                <w:i w:val="0"/>
                <w:sz w:val="22"/>
              </w:rPr>
              <w:t>Revocada</w:t>
            </w:r>
          </w:p>
        </w:tc>
        <w:tc>
          <w:tcPr>
            <w:tcW w:type="dxa" w:w="2000"/>
            <w:vAlign w:val="center"/>
          </w:tcPr>
          <w:p>
            <w:pPr>
              <w:spacing w:line="240" w:lineRule="auto" w:before="60" w:after="60"/>
              <w:jc w:val="center"/>
            </w:pPr>
            <w:r>
              <w:rPr>
                <w:b w:val="0"/>
                <w:i w:val="0"/>
                <w:sz w:val="22"/>
              </w:rPr>
              <w:t>24</w:t>
            </w:r>
          </w:p>
        </w:tc>
        <w:tc>
          <w:tcPr>
            <w:tcW w:type="dxa" w:w="2000"/>
            <w:vAlign w:val="center"/>
          </w:tcPr>
          <w:p>
            <w:pPr>
              <w:spacing w:line="240" w:lineRule="auto" w:before="60" w:after="60"/>
              <w:jc w:val="center"/>
            </w:pPr>
            <w:r>
              <w:rPr>
                <w:b w:val="0"/>
                <w:i w:val="0"/>
                <w:sz w:val="22"/>
              </w:rPr>
              <w:t>7,3 %</w:t>
            </w:r>
          </w:p>
        </w:tc>
      </w:tr>
      <w:tr>
        <w:tc>
          <w:tcPr>
            <w:tcW w:type="dxa" w:w="3600"/>
            <w:vAlign w:val="center"/>
          </w:tcPr>
          <w:p>
            <w:pPr>
              <w:spacing w:line="240" w:lineRule="auto" w:before="60" w:after="60"/>
              <w:jc w:val="left"/>
            </w:pPr>
            <w:r>
              <w:rPr>
                <w:b/>
                <w:i w:val="0"/>
                <w:sz w:val="22"/>
              </w:rPr>
              <w:t>Total</w:t>
            </w:r>
          </w:p>
        </w:tc>
        <w:tc>
          <w:tcPr>
            <w:tcW w:type="dxa" w:w="2000"/>
            <w:vAlign w:val="center"/>
          </w:tcPr>
          <w:p>
            <w:pPr>
              <w:spacing w:line="240" w:lineRule="auto" w:before="60" w:after="60"/>
              <w:jc w:val="center"/>
            </w:pPr>
            <w:r>
              <w:rPr>
                <w:b/>
                <w:i w:val="0"/>
                <w:sz w:val="22"/>
              </w:rPr>
              <w:t>328</w:t>
            </w:r>
          </w:p>
        </w:tc>
        <w:tc>
          <w:tcPr>
            <w:tcW w:type="dxa" w:w="2000"/>
            <w:vAlign w:val="center"/>
          </w:tcPr>
          <w:p>
            <w:pPr>
              <w:spacing w:line="240" w:lineRule="auto" w:before="60" w:after="60"/>
              <w:jc w:val="center"/>
            </w:pPr>
            <w:r>
              <w:rPr>
                <w:b/>
                <w:i w:val="0"/>
                <w:sz w:val="22"/>
              </w:rPr>
              <w:t>100,0 %</w:t>
            </w:r>
          </w:p>
        </w:tc>
      </w:tr>
    </w:tbl>
    <w:p>
      <w:pPr>
        <w:spacing w:line="240" w:lineRule="auto" w:after="240" w:before="60"/>
        <w:jc w:val="both"/>
      </w:pPr>
      <w:r>
        <w:rPr>
          <w:i/>
          <w:sz w:val="20"/>
        </w:rPr>
        <w:t xml:space="preserve">Nota. </w:t>
      </w:r>
      <w:r>
        <w:rPr>
          <w:sz w:val="20"/>
        </w:rPr>
        <w:t>Elaboración propia.</w:t>
      </w:r>
    </w:p>
    <w:p>
      <w:pPr>
        <w:spacing w:after="120" w:line="360" w:lineRule="auto"/>
        <w:jc w:val="both"/>
      </w:pPr>
      <w:r>
        <w:rPr>
          <w:b w:val="0"/>
          <w:i w:val="0"/>
        </w:rPr>
        <w:t>En 2018, el 65,5 % de las sentencias fue confirmado, mientras que el 21,7 % fue anulado y el 12,8 % revocado. En 2024, las sentencias confirmadas representaron el 72,6 %, mientras que las anuladas y revocadas disminuyeron al 20,1 % y 7,3 %, respectivamente. Estos resultados evidencian una mayor proporción de confirmaciones y una menor intervención correctiva de la segunda instancia durante 2024.</w:t>
      </w:r>
    </w:p>
    <w:p>
      <w:pPr>
        <w:spacing w:after="120" w:line="360" w:lineRule="auto"/>
        <w:jc w:val="both"/>
      </w:pPr>
      <w:r>
        <w:rPr>
          <w:b w:val="0"/>
          <w:i w:val="0"/>
        </w:rPr>
        <w:t>Para el análisis documental se revisaron 167 expedientes con sentencia de primera instancia codificada: 87 del grupo Tradicional y 80 del grupo Oralidad. Adicionalmente, se examinaron 163 sentencias de vista de las Salas Civiles (85 del grupo Tradicional y 78 del grupo Oralidad), de las cuales 105 declararon la nulidad de la sentencia apelada: 53 del grupo Tradicional y 52 del grupo Oralidad. Estas muestras se distinguen de las series de sentencias de segunda instancia de 2018 y 2024 presentadas en las tablas iniciales.</w:t>
      </w:r>
    </w:p>
    <w:p>
      <w:pPr>
        <w:pStyle w:val="Heading3"/>
      </w:pPr>
      <w:r>
        <w:t>Alcance de las bases de comparación</w:t>
      </w:r>
    </w:p>
    <w:p>
      <w:pPr>
        <w:spacing w:after="120" w:line="360" w:lineRule="auto"/>
        <w:jc w:val="both"/>
      </w:pPr>
      <w:r>
        <w:rPr>
          <w:b w:val="0"/>
          <w:i w:val="0"/>
        </w:rPr>
        <w:t>Las series de 281 y 328 sentencias de segunda instancia de 2018 y 2024 describen un conjunto distinto de la muestra documental de 167 expedientes. Dentro de esta última, el control superior se examinó en 163 sentencias de vista, y las causales de nulidad, en las 53 y 52 sentencias anuladas. Por ello, las proporciones de confirmación de las series anuales no deben combinarse con las de la muestra ni utilizarse como denominadores intercambiables. La unidad de análisis y el procedimiento de selección condicionan el alcance de cada comparación.</w:t>
      </w:r>
    </w:p>
    <w:p>
      <w:pPr>
        <w:spacing w:after="120" w:line="360" w:lineRule="auto"/>
        <w:jc w:val="both"/>
      </w:pPr>
      <w:r>
        <w:rPr>
          <w:b w:val="0"/>
          <w:i w:val="0"/>
        </w:rPr>
        <w:t>El año de inicio del expediente, la fecha de sentencia y la efectiva tramitación bajo el MCCLO son atributos diferentes. La clasificación debe conservar el criterio de inclusión definido en el estudio y comprobar el modelo mediante las actuaciones registradas. Un expediente iniciado antes de la implementación puede contener actuaciones posteriores bajo otra organización; la fecha, aisladamente, no acredita exposición al modelo.</w:t>
      </w:r>
    </w:p>
    <w:p>
      <w:pPr>
        <w:spacing w:after="0" w:line="240" w:lineRule="auto" w:before="240"/>
        <w:jc w:val="left"/>
      </w:pPr>
      <w:r>
        <w:rPr>
          <w:b/>
          <w:i w:val="0"/>
        </w:rPr>
        <w:t>Tabla 3</w:t>
      </w:r>
    </w:p>
    <w:p>
      <w:pPr>
        <w:spacing w:after="120" w:line="276" w:lineRule="auto"/>
        <w:jc w:val="left"/>
      </w:pPr>
      <w:r>
        <w:rPr>
          <w:b w:val="0"/>
          <w:i/>
        </w:rPr>
        <w:t>Composición de los expedientes analizados según vía procesal y hito de segunda instancia</w:t>
      </w:r>
    </w:p>
    <w:tbl>
      <w:tblPr>
        <w:tblW w:type="dxa" w:w="847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270"/>
        <w:gridCol w:w="1200"/>
        <w:gridCol w:w="900"/>
        <w:gridCol w:w="1200"/>
        <w:gridCol w:w="900"/>
      </w:tblGrid>
      <w:tr>
        <w:tc>
          <w:tcPr>
            <w:tcW w:type="dxa" w:w="4270"/>
            <w:vAlign w:val="center"/>
          </w:tcPr>
          <w:p>
            <w:pPr>
              <w:spacing w:line="240" w:lineRule="auto" w:before="60" w:after="60"/>
              <w:jc w:val="left"/>
            </w:pPr>
            <w:r>
              <w:rPr>
                <w:b/>
                <w:i w:val="0"/>
                <w:sz w:val="22"/>
              </w:rPr>
              <w:t>Característica</w:t>
            </w:r>
          </w:p>
        </w:tc>
        <w:tc>
          <w:tcPr>
            <w:tcW w:type="dxa" w:w="1200"/>
            <w:vAlign w:val="center"/>
          </w:tcPr>
          <w:p>
            <w:pPr>
              <w:spacing w:line="240" w:lineRule="auto" w:before="60" w:after="60"/>
              <w:jc w:val="center"/>
            </w:pPr>
            <w:r>
              <w:rPr>
                <w:b/>
                <w:i w:val="0"/>
                <w:sz w:val="22"/>
              </w:rPr>
              <w:t>Tradicional</w:t>
            </w:r>
          </w:p>
        </w:tc>
        <w:tc>
          <w:tcPr>
            <w:tcW w:type="dxa" w:w="900"/>
            <w:vAlign w:val="center"/>
          </w:tcPr>
          <w:p>
            <w:pPr>
              <w:spacing w:line="240" w:lineRule="auto" w:before="60" w:after="60"/>
              <w:jc w:val="center"/>
            </w:pPr>
            <w:r>
              <w:rPr>
                <w:b/>
                <w:i w:val="0"/>
                <w:sz w:val="22"/>
              </w:rPr>
              <w:t>%</w:t>
            </w:r>
          </w:p>
        </w:tc>
        <w:tc>
          <w:tcPr>
            <w:tcW w:type="dxa" w:w="1200"/>
            <w:vAlign w:val="center"/>
          </w:tcPr>
          <w:p>
            <w:pPr>
              <w:spacing w:line="240" w:lineRule="auto" w:before="60" w:after="60"/>
              <w:jc w:val="center"/>
            </w:pPr>
            <w:r>
              <w:rPr>
                <w:b/>
                <w:i w:val="0"/>
                <w:sz w:val="22"/>
              </w:rPr>
              <w:t>Oralidad</w:t>
            </w:r>
          </w:p>
        </w:tc>
        <w:tc>
          <w:tcPr>
            <w:tcW w:type="dxa" w:w="900"/>
            <w:vAlign w:val="center"/>
          </w:tcPr>
          <w:p>
            <w:pPr>
              <w:spacing w:line="240" w:lineRule="auto" w:before="60" w:after="60"/>
              <w:jc w:val="center"/>
            </w:pPr>
            <w:r>
              <w:rPr>
                <w:b/>
                <w:i w:val="0"/>
                <w:sz w:val="22"/>
              </w:rPr>
              <w:t>%</w:t>
            </w:r>
          </w:p>
        </w:tc>
      </w:tr>
      <w:tr>
        <w:tc>
          <w:tcPr>
            <w:tcW w:type="dxa" w:w="8470"/>
            <w:gridSpan w:val="5"/>
            <w:vAlign w:val="center"/>
          </w:tcPr>
          <w:p>
            <w:pPr>
              <w:spacing w:line="240" w:lineRule="auto" w:before="60" w:after="60"/>
              <w:jc w:val="left"/>
            </w:pPr>
            <w:r>
              <w:rPr>
                <w:b/>
                <w:i w:val="0"/>
                <w:sz w:val="22"/>
              </w:rPr>
              <w:t>Vía procesal (expedientes con sentencia de primera instancia; n = 87 / 80)</w:t>
            </w:r>
          </w:p>
        </w:tc>
      </w:tr>
      <w:tr>
        <w:tc>
          <w:tcPr>
            <w:tcW w:type="dxa" w:w="4270"/>
            <w:vAlign w:val="center"/>
          </w:tcPr>
          <w:p>
            <w:pPr>
              <w:spacing w:line="240" w:lineRule="auto" w:before="60" w:after="60"/>
              <w:jc w:val="left"/>
            </w:pPr>
            <w:r>
              <w:rPr>
                <w:b w:val="0"/>
                <w:i w:val="0"/>
                <w:sz w:val="22"/>
              </w:rPr>
              <w:t>Conocimiento</w:t>
            </w:r>
          </w:p>
        </w:tc>
        <w:tc>
          <w:tcPr>
            <w:tcW w:type="dxa" w:w="1200"/>
            <w:vAlign w:val="center"/>
          </w:tcPr>
          <w:p>
            <w:pPr>
              <w:spacing w:line="240" w:lineRule="auto" w:before="60" w:after="60"/>
              <w:jc w:val="center"/>
            </w:pPr>
            <w:r>
              <w:rPr>
                <w:b w:val="0"/>
                <w:i w:val="0"/>
                <w:sz w:val="22"/>
              </w:rPr>
              <w:t>37</w:t>
            </w:r>
          </w:p>
        </w:tc>
        <w:tc>
          <w:tcPr>
            <w:tcW w:type="dxa" w:w="900"/>
            <w:vAlign w:val="center"/>
          </w:tcPr>
          <w:p>
            <w:pPr>
              <w:spacing w:line="240" w:lineRule="auto" w:before="60" w:after="60"/>
              <w:jc w:val="center"/>
            </w:pPr>
            <w:r>
              <w:rPr>
                <w:b w:val="0"/>
                <w:i w:val="0"/>
                <w:sz w:val="22"/>
              </w:rPr>
              <w:t>42,5</w:t>
            </w:r>
          </w:p>
        </w:tc>
        <w:tc>
          <w:tcPr>
            <w:tcW w:type="dxa" w:w="1200"/>
            <w:vAlign w:val="center"/>
          </w:tcPr>
          <w:p>
            <w:pPr>
              <w:spacing w:line="240" w:lineRule="auto" w:before="60" w:after="60"/>
              <w:jc w:val="center"/>
            </w:pPr>
            <w:r>
              <w:rPr>
                <w:b w:val="0"/>
                <w:i w:val="0"/>
                <w:sz w:val="22"/>
              </w:rPr>
              <w:t>22</w:t>
            </w:r>
          </w:p>
        </w:tc>
        <w:tc>
          <w:tcPr>
            <w:tcW w:type="dxa" w:w="900"/>
            <w:vAlign w:val="center"/>
          </w:tcPr>
          <w:p>
            <w:pPr>
              <w:spacing w:line="240" w:lineRule="auto" w:before="60" w:after="60"/>
              <w:jc w:val="center"/>
            </w:pPr>
            <w:r>
              <w:rPr>
                <w:b w:val="0"/>
                <w:i w:val="0"/>
                <w:sz w:val="22"/>
              </w:rPr>
              <w:t>27,5</w:t>
            </w:r>
          </w:p>
        </w:tc>
      </w:tr>
      <w:tr>
        <w:tc>
          <w:tcPr>
            <w:tcW w:type="dxa" w:w="4270"/>
            <w:vAlign w:val="center"/>
          </w:tcPr>
          <w:p>
            <w:pPr>
              <w:spacing w:line="240" w:lineRule="auto" w:before="60" w:after="60"/>
              <w:jc w:val="left"/>
            </w:pPr>
            <w:r>
              <w:rPr>
                <w:b w:val="0"/>
                <w:i w:val="0"/>
                <w:sz w:val="22"/>
              </w:rPr>
              <w:t>Abreviado</w:t>
            </w:r>
          </w:p>
        </w:tc>
        <w:tc>
          <w:tcPr>
            <w:tcW w:type="dxa" w:w="1200"/>
            <w:vAlign w:val="center"/>
          </w:tcPr>
          <w:p>
            <w:pPr>
              <w:spacing w:line="240" w:lineRule="auto" w:before="60" w:after="60"/>
              <w:jc w:val="center"/>
            </w:pPr>
            <w:r>
              <w:rPr>
                <w:b w:val="0"/>
                <w:i w:val="0"/>
                <w:sz w:val="22"/>
              </w:rPr>
              <w:t>33</w:t>
            </w:r>
          </w:p>
        </w:tc>
        <w:tc>
          <w:tcPr>
            <w:tcW w:type="dxa" w:w="900"/>
            <w:vAlign w:val="center"/>
          </w:tcPr>
          <w:p>
            <w:pPr>
              <w:spacing w:line="240" w:lineRule="auto" w:before="60" w:after="60"/>
              <w:jc w:val="center"/>
            </w:pPr>
            <w:r>
              <w:rPr>
                <w:b w:val="0"/>
                <w:i w:val="0"/>
                <w:sz w:val="22"/>
              </w:rPr>
              <w:t>37,9</w:t>
            </w:r>
          </w:p>
        </w:tc>
        <w:tc>
          <w:tcPr>
            <w:tcW w:type="dxa" w:w="1200"/>
            <w:vAlign w:val="center"/>
          </w:tcPr>
          <w:p>
            <w:pPr>
              <w:spacing w:line="240" w:lineRule="auto" w:before="60" w:after="60"/>
              <w:jc w:val="center"/>
            </w:pPr>
            <w:r>
              <w:rPr>
                <w:b w:val="0"/>
                <w:i w:val="0"/>
                <w:sz w:val="22"/>
              </w:rPr>
              <w:t>39</w:t>
            </w:r>
          </w:p>
        </w:tc>
        <w:tc>
          <w:tcPr>
            <w:tcW w:type="dxa" w:w="900"/>
            <w:vAlign w:val="center"/>
          </w:tcPr>
          <w:p>
            <w:pPr>
              <w:spacing w:line="240" w:lineRule="auto" w:before="60" w:after="60"/>
              <w:jc w:val="center"/>
            </w:pPr>
            <w:r>
              <w:rPr>
                <w:b w:val="0"/>
                <w:i w:val="0"/>
                <w:sz w:val="22"/>
              </w:rPr>
              <w:t>48,8</w:t>
            </w:r>
          </w:p>
        </w:tc>
      </w:tr>
      <w:tr>
        <w:tc>
          <w:tcPr>
            <w:tcW w:type="dxa" w:w="4270"/>
            <w:vAlign w:val="center"/>
          </w:tcPr>
          <w:p>
            <w:pPr>
              <w:spacing w:line="240" w:lineRule="auto" w:before="60" w:after="60"/>
              <w:jc w:val="left"/>
            </w:pPr>
            <w:r>
              <w:rPr>
                <w:b w:val="0"/>
                <w:i w:val="0"/>
                <w:sz w:val="22"/>
              </w:rPr>
              <w:t>Sumarísimo</w:t>
            </w:r>
          </w:p>
        </w:tc>
        <w:tc>
          <w:tcPr>
            <w:tcW w:type="dxa" w:w="1200"/>
            <w:vAlign w:val="center"/>
          </w:tcPr>
          <w:p>
            <w:pPr>
              <w:spacing w:line="240" w:lineRule="auto" w:before="60" w:after="60"/>
              <w:jc w:val="center"/>
            </w:pPr>
            <w:r>
              <w:rPr>
                <w:b w:val="0"/>
                <w:i w:val="0"/>
                <w:sz w:val="22"/>
              </w:rPr>
              <w:t>17</w:t>
            </w:r>
          </w:p>
        </w:tc>
        <w:tc>
          <w:tcPr>
            <w:tcW w:type="dxa" w:w="900"/>
            <w:vAlign w:val="center"/>
          </w:tcPr>
          <w:p>
            <w:pPr>
              <w:spacing w:line="240" w:lineRule="auto" w:before="60" w:after="60"/>
              <w:jc w:val="center"/>
            </w:pPr>
            <w:r>
              <w:rPr>
                <w:b w:val="0"/>
                <w:i w:val="0"/>
                <w:sz w:val="22"/>
              </w:rPr>
              <w:t>19,5</w:t>
            </w:r>
          </w:p>
        </w:tc>
        <w:tc>
          <w:tcPr>
            <w:tcW w:type="dxa" w:w="1200"/>
            <w:vAlign w:val="center"/>
          </w:tcPr>
          <w:p>
            <w:pPr>
              <w:spacing w:line="240" w:lineRule="auto" w:before="60" w:after="60"/>
              <w:jc w:val="center"/>
            </w:pPr>
            <w:r>
              <w:rPr>
                <w:b w:val="0"/>
                <w:i w:val="0"/>
                <w:sz w:val="22"/>
              </w:rPr>
              <w:t>19</w:t>
            </w:r>
          </w:p>
        </w:tc>
        <w:tc>
          <w:tcPr>
            <w:tcW w:type="dxa" w:w="900"/>
            <w:vAlign w:val="center"/>
          </w:tcPr>
          <w:p>
            <w:pPr>
              <w:spacing w:line="240" w:lineRule="auto" w:before="60" w:after="60"/>
              <w:jc w:val="center"/>
            </w:pPr>
            <w:r>
              <w:rPr>
                <w:b w:val="0"/>
                <w:i w:val="0"/>
                <w:sz w:val="22"/>
              </w:rPr>
              <w:t>23,8</w:t>
            </w:r>
          </w:p>
        </w:tc>
      </w:tr>
      <w:tr>
        <w:tc>
          <w:tcPr>
            <w:tcW w:type="dxa" w:w="8470"/>
            <w:gridSpan w:val="5"/>
            <w:vAlign w:val="center"/>
          </w:tcPr>
          <w:p>
            <w:pPr>
              <w:spacing w:line="240" w:lineRule="auto" w:before="60" w:after="60"/>
              <w:jc w:val="left"/>
            </w:pPr>
            <w:r>
              <w:rPr>
                <w:b/>
                <w:i w:val="0"/>
                <w:sz w:val="22"/>
              </w:rPr>
              <w:t>Hito en segunda instancia según el SIJ (n = 87 / 80)</w:t>
            </w:r>
          </w:p>
        </w:tc>
      </w:tr>
      <w:tr>
        <w:tc>
          <w:tcPr>
            <w:tcW w:type="dxa" w:w="4270"/>
            <w:vAlign w:val="center"/>
          </w:tcPr>
          <w:p>
            <w:pPr>
              <w:spacing w:line="240" w:lineRule="auto" w:before="60" w:after="60"/>
              <w:jc w:val="left"/>
            </w:pPr>
            <w:r>
              <w:rPr>
                <w:b w:val="0"/>
                <w:i w:val="0"/>
                <w:sz w:val="22"/>
              </w:rPr>
              <w:t>Anulada</w:t>
            </w:r>
          </w:p>
        </w:tc>
        <w:tc>
          <w:tcPr>
            <w:tcW w:type="dxa" w:w="1200"/>
            <w:vAlign w:val="center"/>
          </w:tcPr>
          <w:p>
            <w:pPr>
              <w:spacing w:line="240" w:lineRule="auto" w:before="60" w:after="60"/>
              <w:jc w:val="center"/>
            </w:pPr>
            <w:r>
              <w:rPr>
                <w:b w:val="0"/>
                <w:i w:val="0"/>
                <w:sz w:val="22"/>
              </w:rPr>
              <w:t>55</w:t>
            </w:r>
          </w:p>
        </w:tc>
        <w:tc>
          <w:tcPr>
            <w:tcW w:type="dxa" w:w="900"/>
            <w:vAlign w:val="center"/>
          </w:tcPr>
          <w:p>
            <w:pPr>
              <w:spacing w:line="240" w:lineRule="auto" w:before="60" w:after="60"/>
              <w:jc w:val="center"/>
            </w:pPr>
            <w:r>
              <w:rPr>
                <w:b w:val="0"/>
                <w:i w:val="0"/>
                <w:sz w:val="22"/>
              </w:rPr>
              <w:t>63,2</w:t>
            </w:r>
          </w:p>
        </w:tc>
        <w:tc>
          <w:tcPr>
            <w:tcW w:type="dxa" w:w="1200"/>
            <w:vAlign w:val="center"/>
          </w:tcPr>
          <w:p>
            <w:pPr>
              <w:spacing w:line="240" w:lineRule="auto" w:before="60" w:after="60"/>
              <w:jc w:val="center"/>
            </w:pPr>
            <w:r>
              <w:rPr>
                <w:b w:val="0"/>
                <w:i w:val="0"/>
                <w:sz w:val="22"/>
              </w:rPr>
              <w:t>58</w:t>
            </w:r>
          </w:p>
        </w:tc>
        <w:tc>
          <w:tcPr>
            <w:tcW w:type="dxa" w:w="900"/>
            <w:vAlign w:val="center"/>
          </w:tcPr>
          <w:p>
            <w:pPr>
              <w:spacing w:line="240" w:lineRule="auto" w:before="60" w:after="60"/>
              <w:jc w:val="center"/>
            </w:pPr>
            <w:r>
              <w:rPr>
                <w:b w:val="0"/>
                <w:i w:val="0"/>
                <w:sz w:val="22"/>
              </w:rPr>
              <w:t>72,5</w:t>
            </w:r>
          </w:p>
        </w:tc>
      </w:tr>
      <w:tr>
        <w:tc>
          <w:tcPr>
            <w:tcW w:type="dxa" w:w="4270"/>
            <w:vAlign w:val="center"/>
          </w:tcPr>
          <w:p>
            <w:pPr>
              <w:spacing w:line="240" w:lineRule="auto" w:before="60" w:after="60"/>
              <w:jc w:val="left"/>
            </w:pPr>
            <w:r>
              <w:rPr>
                <w:b w:val="0"/>
                <w:i w:val="0"/>
                <w:sz w:val="22"/>
              </w:rPr>
              <w:t>Revocada</w:t>
            </w:r>
          </w:p>
        </w:tc>
        <w:tc>
          <w:tcPr>
            <w:tcW w:type="dxa" w:w="1200"/>
            <w:vAlign w:val="center"/>
          </w:tcPr>
          <w:p>
            <w:pPr>
              <w:spacing w:line="240" w:lineRule="auto" w:before="60" w:after="60"/>
              <w:jc w:val="center"/>
            </w:pPr>
            <w:r>
              <w:rPr>
                <w:b w:val="0"/>
                <w:i w:val="0"/>
                <w:sz w:val="22"/>
              </w:rPr>
              <w:t>32</w:t>
            </w:r>
          </w:p>
        </w:tc>
        <w:tc>
          <w:tcPr>
            <w:tcW w:type="dxa" w:w="900"/>
            <w:vAlign w:val="center"/>
          </w:tcPr>
          <w:p>
            <w:pPr>
              <w:spacing w:line="240" w:lineRule="auto" w:before="60" w:after="60"/>
              <w:jc w:val="center"/>
            </w:pPr>
            <w:r>
              <w:rPr>
                <w:b w:val="0"/>
                <w:i w:val="0"/>
                <w:sz w:val="22"/>
              </w:rPr>
              <w:t>36,8</w:t>
            </w:r>
          </w:p>
        </w:tc>
        <w:tc>
          <w:tcPr>
            <w:tcW w:type="dxa" w:w="1200"/>
            <w:vAlign w:val="center"/>
          </w:tcPr>
          <w:p>
            <w:pPr>
              <w:spacing w:line="240" w:lineRule="auto" w:before="60" w:after="60"/>
              <w:jc w:val="center"/>
            </w:pPr>
            <w:r>
              <w:rPr>
                <w:b w:val="0"/>
                <w:i w:val="0"/>
                <w:sz w:val="22"/>
              </w:rPr>
              <w:t>22</w:t>
            </w:r>
          </w:p>
        </w:tc>
        <w:tc>
          <w:tcPr>
            <w:tcW w:type="dxa" w:w="900"/>
            <w:vAlign w:val="center"/>
          </w:tcPr>
          <w:p>
            <w:pPr>
              <w:spacing w:line="240" w:lineRule="auto" w:before="60" w:after="60"/>
              <w:jc w:val="center"/>
            </w:pPr>
            <w:r>
              <w:rPr>
                <w:b w:val="0"/>
                <w:i w:val="0"/>
                <w:sz w:val="22"/>
              </w:rPr>
              <w:t>27,5</w:t>
            </w:r>
          </w:p>
        </w:tc>
      </w:tr>
      <w:tr>
        <w:tc>
          <w:tcPr>
            <w:tcW w:type="dxa" w:w="8470"/>
            <w:gridSpan w:val="5"/>
            <w:vAlign w:val="center"/>
          </w:tcPr>
          <w:p>
            <w:pPr>
              <w:spacing w:line="240" w:lineRule="auto" w:before="60" w:after="60"/>
              <w:jc w:val="left"/>
            </w:pPr>
            <w:r>
              <w:rPr>
                <w:b/>
                <w:i w:val="0"/>
                <w:sz w:val="22"/>
              </w:rPr>
              <w:t>Vía procesal de las sentencias de vista anuladas (n = 53 / 52)</w:t>
            </w:r>
          </w:p>
        </w:tc>
      </w:tr>
      <w:tr>
        <w:tc>
          <w:tcPr>
            <w:tcW w:type="dxa" w:w="4270"/>
            <w:vAlign w:val="center"/>
          </w:tcPr>
          <w:p>
            <w:pPr>
              <w:spacing w:line="240" w:lineRule="auto" w:before="60" w:after="60"/>
              <w:jc w:val="left"/>
            </w:pPr>
            <w:r>
              <w:rPr>
                <w:b w:val="0"/>
                <w:i w:val="0"/>
                <w:sz w:val="22"/>
              </w:rPr>
              <w:t>Conocimiento</w:t>
            </w:r>
          </w:p>
        </w:tc>
        <w:tc>
          <w:tcPr>
            <w:tcW w:type="dxa" w:w="1200"/>
            <w:vAlign w:val="center"/>
          </w:tcPr>
          <w:p>
            <w:pPr>
              <w:spacing w:line="240" w:lineRule="auto" w:before="60" w:after="60"/>
              <w:jc w:val="center"/>
            </w:pPr>
            <w:r>
              <w:rPr>
                <w:b w:val="0"/>
                <w:i w:val="0"/>
                <w:sz w:val="22"/>
              </w:rPr>
              <w:t>28</w:t>
            </w:r>
          </w:p>
        </w:tc>
        <w:tc>
          <w:tcPr>
            <w:tcW w:type="dxa" w:w="900"/>
            <w:vAlign w:val="center"/>
          </w:tcPr>
          <w:p>
            <w:pPr>
              <w:spacing w:line="240" w:lineRule="auto" w:before="60" w:after="60"/>
              <w:jc w:val="center"/>
            </w:pPr>
            <w:r>
              <w:rPr>
                <w:b w:val="0"/>
                <w:i w:val="0"/>
                <w:sz w:val="22"/>
              </w:rPr>
              <w:t>52,8</w:t>
            </w:r>
          </w:p>
        </w:tc>
        <w:tc>
          <w:tcPr>
            <w:tcW w:type="dxa" w:w="1200"/>
            <w:vAlign w:val="center"/>
          </w:tcPr>
          <w:p>
            <w:pPr>
              <w:spacing w:line="240" w:lineRule="auto" w:before="60" w:after="60"/>
              <w:jc w:val="center"/>
            </w:pPr>
            <w:r>
              <w:rPr>
                <w:b w:val="0"/>
                <w:i w:val="0"/>
                <w:sz w:val="22"/>
              </w:rPr>
              <w:t>13</w:t>
            </w:r>
          </w:p>
        </w:tc>
        <w:tc>
          <w:tcPr>
            <w:tcW w:type="dxa" w:w="900"/>
            <w:vAlign w:val="center"/>
          </w:tcPr>
          <w:p>
            <w:pPr>
              <w:spacing w:line="240" w:lineRule="auto" w:before="60" w:after="60"/>
              <w:jc w:val="center"/>
            </w:pPr>
            <w:r>
              <w:rPr>
                <w:b w:val="0"/>
                <w:i w:val="0"/>
                <w:sz w:val="22"/>
              </w:rPr>
              <w:t>25,0</w:t>
            </w:r>
          </w:p>
        </w:tc>
      </w:tr>
      <w:tr>
        <w:tc>
          <w:tcPr>
            <w:tcW w:type="dxa" w:w="4270"/>
            <w:vAlign w:val="center"/>
          </w:tcPr>
          <w:p>
            <w:pPr>
              <w:spacing w:line="240" w:lineRule="auto" w:before="60" w:after="60"/>
              <w:jc w:val="left"/>
            </w:pPr>
            <w:r>
              <w:rPr>
                <w:b w:val="0"/>
                <w:i w:val="0"/>
                <w:sz w:val="22"/>
              </w:rPr>
              <w:t>Abreviado</w:t>
            </w:r>
          </w:p>
        </w:tc>
        <w:tc>
          <w:tcPr>
            <w:tcW w:type="dxa" w:w="1200"/>
            <w:vAlign w:val="center"/>
          </w:tcPr>
          <w:p>
            <w:pPr>
              <w:spacing w:line="240" w:lineRule="auto" w:before="60" w:after="60"/>
              <w:jc w:val="center"/>
            </w:pPr>
            <w:r>
              <w:rPr>
                <w:b w:val="0"/>
                <w:i w:val="0"/>
                <w:sz w:val="22"/>
              </w:rPr>
              <w:t>17</w:t>
            </w:r>
          </w:p>
        </w:tc>
        <w:tc>
          <w:tcPr>
            <w:tcW w:type="dxa" w:w="900"/>
            <w:vAlign w:val="center"/>
          </w:tcPr>
          <w:p>
            <w:pPr>
              <w:spacing w:line="240" w:lineRule="auto" w:before="60" w:after="60"/>
              <w:jc w:val="center"/>
            </w:pPr>
            <w:r>
              <w:rPr>
                <w:b w:val="0"/>
                <w:i w:val="0"/>
                <w:sz w:val="22"/>
              </w:rPr>
              <w:t>32,1</w:t>
            </w:r>
          </w:p>
        </w:tc>
        <w:tc>
          <w:tcPr>
            <w:tcW w:type="dxa" w:w="1200"/>
            <w:vAlign w:val="center"/>
          </w:tcPr>
          <w:p>
            <w:pPr>
              <w:spacing w:line="240" w:lineRule="auto" w:before="60" w:after="60"/>
              <w:jc w:val="center"/>
            </w:pPr>
            <w:r>
              <w:rPr>
                <w:b w:val="0"/>
                <w:i w:val="0"/>
                <w:sz w:val="22"/>
              </w:rPr>
              <w:t>30</w:t>
            </w:r>
          </w:p>
        </w:tc>
        <w:tc>
          <w:tcPr>
            <w:tcW w:type="dxa" w:w="900"/>
            <w:vAlign w:val="center"/>
          </w:tcPr>
          <w:p>
            <w:pPr>
              <w:spacing w:line="240" w:lineRule="auto" w:before="60" w:after="60"/>
              <w:jc w:val="center"/>
            </w:pPr>
            <w:r>
              <w:rPr>
                <w:b w:val="0"/>
                <w:i w:val="0"/>
                <w:sz w:val="22"/>
              </w:rPr>
              <w:t>57,7</w:t>
            </w:r>
          </w:p>
        </w:tc>
      </w:tr>
      <w:tr>
        <w:tc>
          <w:tcPr>
            <w:tcW w:type="dxa" w:w="4270"/>
            <w:vAlign w:val="center"/>
          </w:tcPr>
          <w:p>
            <w:pPr>
              <w:spacing w:line="240" w:lineRule="auto" w:before="60" w:after="60"/>
              <w:jc w:val="left"/>
            </w:pPr>
            <w:r>
              <w:rPr>
                <w:b w:val="0"/>
                <w:i w:val="0"/>
                <w:sz w:val="22"/>
              </w:rPr>
              <w:t>Sumarísimo</w:t>
            </w:r>
          </w:p>
        </w:tc>
        <w:tc>
          <w:tcPr>
            <w:tcW w:type="dxa" w:w="1200"/>
            <w:vAlign w:val="center"/>
          </w:tcPr>
          <w:p>
            <w:pPr>
              <w:spacing w:line="240" w:lineRule="auto" w:before="60" w:after="60"/>
              <w:jc w:val="center"/>
            </w:pPr>
            <w:r>
              <w:rPr>
                <w:b w:val="0"/>
                <w:i w:val="0"/>
                <w:sz w:val="22"/>
              </w:rPr>
              <w:t>8</w:t>
            </w:r>
          </w:p>
        </w:tc>
        <w:tc>
          <w:tcPr>
            <w:tcW w:type="dxa" w:w="900"/>
            <w:vAlign w:val="center"/>
          </w:tcPr>
          <w:p>
            <w:pPr>
              <w:spacing w:line="240" w:lineRule="auto" w:before="60" w:after="60"/>
              <w:jc w:val="center"/>
            </w:pPr>
            <w:r>
              <w:rPr>
                <w:b w:val="0"/>
                <w:i w:val="0"/>
                <w:sz w:val="22"/>
              </w:rPr>
              <w:t>15,1</w:t>
            </w:r>
          </w:p>
        </w:tc>
        <w:tc>
          <w:tcPr>
            <w:tcW w:type="dxa" w:w="1200"/>
            <w:vAlign w:val="center"/>
          </w:tcPr>
          <w:p>
            <w:pPr>
              <w:spacing w:line="240" w:lineRule="auto" w:before="60" w:after="60"/>
              <w:jc w:val="center"/>
            </w:pPr>
            <w:r>
              <w:rPr>
                <w:b w:val="0"/>
                <w:i w:val="0"/>
                <w:sz w:val="22"/>
              </w:rPr>
              <w:t>9</w:t>
            </w:r>
          </w:p>
        </w:tc>
        <w:tc>
          <w:tcPr>
            <w:tcW w:type="dxa" w:w="900"/>
            <w:vAlign w:val="center"/>
          </w:tcPr>
          <w:p>
            <w:pPr>
              <w:spacing w:line="240" w:lineRule="auto" w:before="60" w:after="60"/>
              <w:jc w:val="center"/>
            </w:pPr>
            <w:r>
              <w:rPr>
                <w:b w:val="0"/>
                <w:i w:val="0"/>
                <w:sz w:val="22"/>
              </w:rPr>
              <w:t>17,3</w:t>
            </w:r>
          </w:p>
        </w:tc>
      </w:tr>
    </w:tbl>
    <w:p>
      <w:pPr>
        <w:spacing w:line="240" w:lineRule="auto" w:after="240" w:before="60"/>
        <w:jc w:val="both"/>
      </w:pPr>
      <w:r>
        <w:rPr>
          <w:i/>
          <w:sz w:val="20"/>
        </w:rPr>
        <w:t xml:space="preserve">Nota. </w:t>
      </w:r>
      <w:r>
        <w:rPr>
          <w:sz w:val="20"/>
        </w:rPr>
        <w:t>Expedientes analizados: 167 de los 187 listados (97 tradicionales y 90 de oralidad); se excluye el expediente 00153-2022, de proceso especial. El hito de segunda instancia corresponde al último registrado en el SIJ. Fuente: Consolidado_corpus_MCCLO_1ra_instancia_FIN.xlsx y Corpus_unificado_CORREGIDO_SV_CSJA_2_TOTAL_3_FIN.xlsx. Elaboración propia.</w:t>
      </w:r>
    </w:p>
    <w:p>
      <w:pPr>
        <w:spacing w:after="120" w:line="360" w:lineRule="auto"/>
        <w:jc w:val="both"/>
      </w:pPr>
      <w:r>
        <w:rPr>
          <w:b w:val="0"/>
          <w:i w:val="0"/>
        </w:rPr>
        <w:t>La tabla que precede contiene la caracterización de los ciento sesenta y siete (167) expedientes que conforman las unidades de estudio, así como de las ciento cinco (105) sentencias de vista anuladas, ello tomando en consideración que la comparabilidad sustancial entre ambos grupos constituye el presupuesto de validez de todo el contraste posterior. El grupo Oralidad contiene una mayor proporción de procesos abreviados, por lo que las comparaciones se leen como descriptivas y no ajustadas por vía.</w:t>
      </w:r>
    </w:p>
    <w:p>
      <w:pPr>
        <w:pStyle w:val="Heading2"/>
      </w:pPr>
      <w:r>
        <w:t>1.1. RESPECTO AL PRIMER OBJETIVO ESPECÍFICO</w:t>
      </w:r>
    </w:p>
    <w:p>
      <w:pPr>
        <w:spacing w:after="120" w:line="360" w:lineRule="auto"/>
        <w:jc w:val="both"/>
      </w:pPr>
      <w:r>
        <w:rPr>
          <w:b w:val="0"/>
          <w:i w:val="0"/>
        </w:rPr>
        <w:t>De otra parte, a efectos de analizar el Modelo de Oralidad Civil efectivamente implementado en los Juzgados Civiles de Arequipa, se utilizó la ficha de análisis documental para la verificación, expediente por expediente, de los principios observables del modelo, ello con la finalidad de establecer no la vigencia normativa del modelo, sino su eficacia operativa verificable en el texto de las resoluciones, teniéndose la siguiente tabla:</w:t>
      </w:r>
    </w:p>
    <w:p>
      <w:pPr>
        <w:spacing w:after="0" w:line="240" w:lineRule="auto" w:before="240"/>
        <w:jc w:val="left"/>
      </w:pPr>
      <w:r>
        <w:rPr>
          <w:b/>
          <w:i w:val="0"/>
        </w:rPr>
        <w:t>Tabla 4</w:t>
      </w:r>
    </w:p>
    <w:p>
      <w:pPr>
        <w:spacing w:after="120" w:line="276" w:lineRule="auto"/>
        <w:jc w:val="left"/>
      </w:pPr>
      <w:r>
        <w:rPr>
          <w:b w:val="0"/>
          <w:i/>
        </w:rPr>
        <w:t>Identificación de la frecuencia de los principios de oralidad verificados en las fichas, según período procesal</w:t>
      </w:r>
    </w:p>
    <w:tbl>
      <w:tblPr>
        <w:tblW w:type="dxa" w:w="867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870"/>
        <w:gridCol w:w="1900"/>
        <w:gridCol w:w="1900"/>
      </w:tblGrid>
      <w:tr>
        <w:tc>
          <w:tcPr>
            <w:tcW w:type="dxa" w:w="4870"/>
            <w:vAlign w:val="center"/>
          </w:tcPr>
          <w:p>
            <w:pPr>
              <w:spacing w:line="240" w:lineRule="auto" w:before="60" w:after="60"/>
              <w:jc w:val="left"/>
            </w:pPr>
            <w:r>
              <w:rPr>
                <w:b/>
                <w:i w:val="0"/>
                <w:sz w:val="22"/>
              </w:rPr>
              <w:t>Indicador</w:t>
            </w:r>
          </w:p>
        </w:tc>
        <w:tc>
          <w:tcPr>
            <w:tcW w:type="dxa" w:w="1900"/>
            <w:vAlign w:val="center"/>
          </w:tcPr>
          <w:p>
            <w:pPr>
              <w:spacing w:line="240" w:lineRule="auto" w:before="60" w:after="60"/>
              <w:jc w:val="center"/>
            </w:pPr>
            <w:r>
              <w:rPr>
                <w:b/>
                <w:i w:val="0"/>
                <w:sz w:val="22"/>
              </w:rPr>
              <w:t>Tradicional (n = 87)</w:t>
            </w:r>
          </w:p>
        </w:tc>
        <w:tc>
          <w:tcPr>
            <w:tcW w:type="dxa" w:w="1900"/>
            <w:vAlign w:val="center"/>
          </w:tcPr>
          <w:p>
            <w:pPr>
              <w:spacing w:line="240" w:lineRule="auto" w:before="60" w:after="60"/>
              <w:jc w:val="center"/>
            </w:pPr>
            <w:r>
              <w:rPr>
                <w:b/>
                <w:i w:val="0"/>
                <w:sz w:val="22"/>
              </w:rPr>
              <w:t>Oralidad (n = 80)</w:t>
            </w:r>
          </w:p>
        </w:tc>
      </w:tr>
      <w:tr>
        <w:tc>
          <w:tcPr>
            <w:tcW w:type="dxa" w:w="4870"/>
            <w:vAlign w:val="center"/>
          </w:tcPr>
          <w:p>
            <w:pPr>
              <w:spacing w:line="240" w:lineRule="auto" w:before="60" w:after="60"/>
              <w:jc w:val="left"/>
            </w:pPr>
            <w:r>
              <w:rPr>
                <w:b w:val="0"/>
                <w:i w:val="0"/>
                <w:sz w:val="22"/>
              </w:rPr>
              <w:t>Concentración acreditada (saneamiento, fijación de puntos y admisión de prueba)</w:t>
            </w:r>
          </w:p>
        </w:tc>
        <w:tc>
          <w:tcPr>
            <w:tcW w:type="dxa" w:w="1900"/>
            <w:vAlign w:val="center"/>
          </w:tcPr>
          <w:p>
            <w:pPr>
              <w:spacing w:line="240" w:lineRule="auto" w:before="60" w:after="60"/>
              <w:jc w:val="center"/>
            </w:pPr>
            <w:r>
              <w:rPr>
                <w:b w:val="0"/>
                <w:i w:val="0"/>
                <w:sz w:val="22"/>
              </w:rPr>
              <w:t>18 (20,7 %)</w:t>
            </w:r>
          </w:p>
        </w:tc>
        <w:tc>
          <w:tcPr>
            <w:tcW w:type="dxa" w:w="1900"/>
            <w:vAlign w:val="center"/>
          </w:tcPr>
          <w:p>
            <w:pPr>
              <w:spacing w:line="240" w:lineRule="auto" w:before="60" w:after="60"/>
              <w:jc w:val="center"/>
            </w:pPr>
            <w:r>
              <w:rPr>
                <w:b w:val="0"/>
                <w:i w:val="0"/>
                <w:sz w:val="22"/>
              </w:rPr>
              <w:t>57 (71,3 %)</w:t>
            </w:r>
          </w:p>
        </w:tc>
      </w:tr>
      <w:tr>
        <w:tc>
          <w:tcPr>
            <w:tcW w:type="dxa" w:w="4870"/>
            <w:vAlign w:val="center"/>
          </w:tcPr>
          <w:p>
            <w:pPr>
              <w:spacing w:line="240" w:lineRule="auto" w:before="60" w:after="60"/>
              <w:jc w:val="left"/>
            </w:pPr>
            <w:r>
              <w:rPr>
                <w:b w:val="0"/>
                <w:i w:val="0"/>
                <w:sz w:val="22"/>
              </w:rPr>
              <w:t>Fijación expresa de hechos no controvertidos</w:t>
            </w:r>
          </w:p>
        </w:tc>
        <w:tc>
          <w:tcPr>
            <w:tcW w:type="dxa" w:w="1900"/>
            <w:vAlign w:val="center"/>
          </w:tcPr>
          <w:p>
            <w:pPr>
              <w:spacing w:line="240" w:lineRule="auto" w:before="60" w:after="60"/>
              <w:jc w:val="center"/>
            </w:pPr>
            <w:r>
              <w:rPr>
                <w:b w:val="0"/>
                <w:i w:val="0"/>
                <w:sz w:val="22"/>
              </w:rPr>
              <w:t>0 (0,0 %)</w:t>
            </w:r>
          </w:p>
        </w:tc>
        <w:tc>
          <w:tcPr>
            <w:tcW w:type="dxa" w:w="1900"/>
            <w:vAlign w:val="center"/>
          </w:tcPr>
          <w:p>
            <w:pPr>
              <w:spacing w:line="240" w:lineRule="auto" w:before="60" w:after="60"/>
              <w:jc w:val="center"/>
            </w:pPr>
            <w:r>
              <w:rPr>
                <w:b w:val="0"/>
                <w:i w:val="0"/>
                <w:sz w:val="22"/>
              </w:rPr>
              <w:t>13 (16,3 %)</w:t>
            </w:r>
          </w:p>
        </w:tc>
      </w:tr>
      <w:tr>
        <w:tc>
          <w:tcPr>
            <w:tcW w:type="dxa" w:w="4870"/>
            <w:vAlign w:val="center"/>
          </w:tcPr>
          <w:p>
            <w:pPr>
              <w:spacing w:line="240" w:lineRule="auto" w:before="60" w:after="60"/>
              <w:jc w:val="left"/>
            </w:pPr>
            <w:r>
              <w:rPr>
                <w:b w:val="0"/>
                <w:i w:val="0"/>
                <w:sz w:val="22"/>
              </w:rPr>
              <w:t>Convenciones probatorias</w:t>
            </w:r>
          </w:p>
        </w:tc>
        <w:tc>
          <w:tcPr>
            <w:tcW w:type="dxa" w:w="1900"/>
            <w:vAlign w:val="center"/>
          </w:tcPr>
          <w:p>
            <w:pPr>
              <w:spacing w:line="240" w:lineRule="auto" w:before="60" w:after="60"/>
              <w:jc w:val="center"/>
            </w:pPr>
            <w:r>
              <w:rPr>
                <w:b w:val="0"/>
                <w:i w:val="0"/>
                <w:sz w:val="22"/>
              </w:rPr>
              <w:t>0 (0,0 %)</w:t>
            </w:r>
          </w:p>
        </w:tc>
        <w:tc>
          <w:tcPr>
            <w:tcW w:type="dxa" w:w="1900"/>
            <w:vAlign w:val="center"/>
          </w:tcPr>
          <w:p>
            <w:pPr>
              <w:spacing w:line="240" w:lineRule="auto" w:before="60" w:after="60"/>
              <w:jc w:val="center"/>
            </w:pPr>
            <w:r>
              <w:rPr>
                <w:b w:val="0"/>
                <w:i w:val="0"/>
                <w:sz w:val="22"/>
              </w:rPr>
              <w:t>0 (0,0 %)</w:t>
            </w:r>
          </w:p>
        </w:tc>
      </w:tr>
      <w:tr>
        <w:tc>
          <w:tcPr>
            <w:tcW w:type="dxa" w:w="4870"/>
            <w:vAlign w:val="center"/>
          </w:tcPr>
          <w:p>
            <w:pPr>
              <w:spacing w:line="240" w:lineRule="auto" w:before="60" w:after="60"/>
              <w:jc w:val="left"/>
            </w:pPr>
            <w:r>
              <w:rPr>
                <w:b w:val="0"/>
                <w:i w:val="0"/>
                <w:sz w:val="22"/>
              </w:rPr>
              <w:t>Sentencia expedida dentro de la audiencia</w:t>
            </w:r>
          </w:p>
        </w:tc>
        <w:tc>
          <w:tcPr>
            <w:tcW w:type="dxa" w:w="1900"/>
            <w:vAlign w:val="center"/>
          </w:tcPr>
          <w:p>
            <w:pPr>
              <w:spacing w:line="240" w:lineRule="auto" w:before="60" w:after="60"/>
              <w:jc w:val="center"/>
            </w:pPr>
            <w:r>
              <w:rPr>
                <w:b w:val="0"/>
                <w:i w:val="0"/>
                <w:sz w:val="22"/>
              </w:rPr>
              <w:t>1 (1,1 %)</w:t>
            </w:r>
          </w:p>
        </w:tc>
        <w:tc>
          <w:tcPr>
            <w:tcW w:type="dxa" w:w="1900"/>
            <w:vAlign w:val="center"/>
          </w:tcPr>
          <w:p>
            <w:pPr>
              <w:spacing w:line="240" w:lineRule="auto" w:before="60" w:after="60"/>
              <w:jc w:val="center"/>
            </w:pPr>
            <w:r>
              <w:rPr>
                <w:b w:val="0"/>
                <w:i w:val="0"/>
                <w:sz w:val="22"/>
              </w:rPr>
              <w:t>4 (5,0 %)</w:t>
            </w:r>
          </w:p>
        </w:tc>
      </w:tr>
      <w:tr>
        <w:tc>
          <w:tcPr>
            <w:tcW w:type="dxa" w:w="4870"/>
            <w:vAlign w:val="center"/>
          </w:tcPr>
          <w:p>
            <w:pPr>
              <w:spacing w:line="240" w:lineRule="auto" w:before="60" w:after="60"/>
              <w:jc w:val="left"/>
            </w:pPr>
            <w:r>
              <w:rPr>
                <w:b w:val="0"/>
                <w:i w:val="0"/>
                <w:sz w:val="22"/>
              </w:rPr>
              <w:t>Lectura oral del sentido del fallo</w:t>
            </w:r>
          </w:p>
        </w:tc>
        <w:tc>
          <w:tcPr>
            <w:tcW w:type="dxa" w:w="1900"/>
            <w:vAlign w:val="center"/>
          </w:tcPr>
          <w:p>
            <w:pPr>
              <w:spacing w:line="240" w:lineRule="auto" w:before="60" w:after="60"/>
              <w:jc w:val="center"/>
            </w:pPr>
            <w:r>
              <w:rPr>
                <w:b w:val="0"/>
                <w:i w:val="0"/>
                <w:sz w:val="22"/>
              </w:rPr>
              <w:t>1 (1,1 %)</w:t>
            </w:r>
          </w:p>
        </w:tc>
        <w:tc>
          <w:tcPr>
            <w:tcW w:type="dxa" w:w="1900"/>
            <w:vAlign w:val="center"/>
          </w:tcPr>
          <w:p>
            <w:pPr>
              <w:spacing w:line="240" w:lineRule="auto" w:before="60" w:after="60"/>
              <w:jc w:val="center"/>
            </w:pPr>
            <w:r>
              <w:rPr>
                <w:b w:val="0"/>
                <w:i w:val="0"/>
                <w:sz w:val="22"/>
              </w:rPr>
              <w:t>2 (2,5 %)</w:t>
            </w:r>
          </w:p>
        </w:tc>
      </w:tr>
    </w:tbl>
    <w:p>
      <w:pPr>
        <w:spacing w:line="240" w:lineRule="auto" w:after="240" w:before="60"/>
        <w:jc w:val="both"/>
      </w:pPr>
      <w:r>
        <w:rPr>
          <w:i/>
          <w:sz w:val="20"/>
        </w:rPr>
        <w:t xml:space="preserve">Nota. </w:t>
      </w:r>
      <w:r>
        <w:rPr>
          <w:sz w:val="20"/>
        </w:rPr>
        <w:t>Indicadores de la primera sentencia de primera instancia codificada en cada expediente. Convenciones probatorias: un registro parcial en el grupo Oralidad, no computado. Fuente: Consolidado_corpus_MCCLO_1ra_instancia_FIN.xlsx. Elaboración propia.</w:t>
      </w:r>
    </w:p>
    <w:p>
      <w:pPr>
        <w:spacing w:after="120" w:line="360" w:lineRule="auto"/>
        <w:jc w:val="both"/>
      </w:pPr>
      <w:r>
        <w:rPr>
          <w:b w:val="0"/>
          <w:i w:val="0"/>
        </w:rPr>
        <w:t>La tabla que antecede contiene la frecuencia observada de los principios de oralidad en los ciento sesenta y siete (167) expedientes materia de evaluación, entendidos los mismos de conformidad con los parámetros delimitados en el apartado metodológico, concluyéndose que:</w:t>
      </w:r>
    </w:p>
    <w:p>
      <w:pPr>
        <w:spacing w:after="120" w:line="360" w:lineRule="auto"/>
        <w:jc w:val="both"/>
      </w:pPr>
      <w:r>
        <w:rPr>
          <w:b w:val="0"/>
          <w:i w:val="0"/>
        </w:rPr>
        <w:t>a) De los ochenta y siete (87) expedientes del período escritural, únicamente dieciocho (18) acreditan concentración procesal, ascendiendo a un 20,7 % del grupo, mientras que de los ochenta (80) expedientes del período Oralidad, cincuenta y siete (57) la acreditan, ascendiendo a un 71,3 % del grupo.</w:t>
      </w:r>
    </w:p>
    <w:p>
      <w:pPr>
        <w:spacing w:after="120" w:line="360" w:lineRule="auto"/>
        <w:jc w:val="both"/>
      </w:pPr>
      <w:r>
        <w:rPr>
          <w:b w:val="0"/>
          <w:i w:val="0"/>
        </w:rPr>
        <w:t>b) La fijación expresa de hechos no controvertidos pasa de ningún expediente en el grupo escritural (0,0 %) a trece (13) expedientes en el grupo MCCLO, equivalentes al 16,3 %.</w:t>
      </w:r>
    </w:p>
    <w:p>
      <w:pPr>
        <w:spacing w:after="120" w:line="360" w:lineRule="auto"/>
        <w:jc w:val="both"/>
      </w:pPr>
      <w:r>
        <w:rPr>
          <w:b w:val="0"/>
          <w:i w:val="0"/>
        </w:rPr>
        <w:t>c) La sentencia expedida dentro de la audiencia se registra en cinco (5) expedientes: cuatro (4) del grupo MCCLO, equivalentes al 5,0 % del grupo, y uno (1) del grupo escritural (1,1 %). La lectura oral del sentido del fallo como acto diferenciado consta en tres (3) expedientes: dos (2) del grupo Oralidad (2,5 %) y uno (1) del Tradicional (1,1 %).</w:t>
      </w:r>
    </w:p>
    <w:p>
      <w:pPr>
        <w:spacing w:after="120" w:line="360" w:lineRule="auto"/>
        <w:jc w:val="both"/>
      </w:pPr>
      <w:r>
        <w:rPr>
          <w:b w:val="0"/>
          <w:i w:val="0"/>
        </w:rPr>
        <w:t>El primer hallazgo del objetivo específico 1 es que la concentración procesal presenta la mayor diferencia descriptiva entre los grupos analizados. Su interpretación se sitúa en el marco institucional de implementación del MCCLO; la comparación documental no permite atribuir causalidad exclusiva a las resoluciones administrativas que lo organizan.</w:t>
      </w:r>
    </w:p>
    <w:p>
      <w:pPr>
        <w:pStyle w:val="Heading2"/>
      </w:pPr>
      <w:r>
        <w:t>1.2. RESPECTO AL SEGUNDO OBJETIVO ESPECÍFICO</w:t>
      </w:r>
    </w:p>
    <w:p>
      <w:pPr>
        <w:spacing w:after="120" w:line="360" w:lineRule="auto"/>
        <w:jc w:val="both"/>
      </w:pPr>
      <w:r>
        <w:rPr>
          <w:b w:val="0"/>
          <w:i w:val="0"/>
        </w:rPr>
        <w:t>Para caracterizar las sentencias se examinó el pronunciamiento superior disponible en cada expediente. El resultado de la revisión constituye un indicador de estabilidad decisoria que debe complementarse con el análisis de sus fundamentos. Se excluyeron de este cálculo los expedientes sin sentencia o auto de vista disponible en la fuente.</w:t>
      </w:r>
    </w:p>
    <w:p>
      <w:pPr>
        <w:spacing w:after="0" w:line="240" w:lineRule="auto" w:before="240"/>
        <w:jc w:val="left"/>
      </w:pPr>
      <w:r>
        <w:rPr>
          <w:b/>
          <w:i w:val="0"/>
        </w:rPr>
        <w:t>Tabla 5</w:t>
      </w:r>
    </w:p>
    <w:p>
      <w:pPr>
        <w:spacing w:after="120" w:line="276" w:lineRule="auto"/>
        <w:jc w:val="left"/>
      </w:pPr>
      <w:r>
        <w:rPr>
          <w:b w:val="0"/>
          <w:i/>
        </w:rPr>
        <w:t>Identificación del resultado del control de segunda instancia sobre la sentencia analizada, según período procesal</w:t>
      </w:r>
    </w:p>
    <w:tbl>
      <w:tblPr>
        <w:tblW w:type="dxa" w:w="817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470"/>
        <w:gridCol w:w="1350"/>
        <w:gridCol w:w="1000"/>
        <w:gridCol w:w="1350"/>
        <w:gridCol w:w="1000"/>
      </w:tblGrid>
      <w:tr>
        <w:tc>
          <w:tcPr>
            <w:tcW w:type="dxa" w:w="3470"/>
            <w:vAlign w:val="center"/>
          </w:tcPr>
          <w:p>
            <w:pPr>
              <w:spacing w:line="240" w:lineRule="auto" w:before="60" w:after="60"/>
              <w:jc w:val="left"/>
            </w:pPr>
            <w:r>
              <w:rPr>
                <w:b/>
                <w:i w:val="0"/>
                <w:sz w:val="22"/>
              </w:rPr>
              <w:t>Resultado</w:t>
            </w:r>
          </w:p>
        </w:tc>
        <w:tc>
          <w:tcPr>
            <w:tcW w:type="dxa" w:w="1350"/>
            <w:vAlign w:val="center"/>
          </w:tcPr>
          <w:p>
            <w:pPr>
              <w:spacing w:line="240" w:lineRule="auto" w:before="60" w:after="60"/>
              <w:jc w:val="center"/>
            </w:pPr>
            <w:r>
              <w:rPr>
                <w:b/>
                <w:i w:val="0"/>
                <w:sz w:val="22"/>
              </w:rPr>
              <w:t>Tradicional (n = 85)</w:t>
            </w:r>
          </w:p>
        </w:tc>
        <w:tc>
          <w:tcPr>
            <w:tcW w:type="dxa" w:w="1000"/>
            <w:vAlign w:val="center"/>
          </w:tcPr>
          <w:p>
            <w:pPr>
              <w:spacing w:line="240" w:lineRule="auto" w:before="60" w:after="60"/>
              <w:jc w:val="center"/>
            </w:pPr>
            <w:r>
              <w:rPr>
                <w:b/>
                <w:i w:val="0"/>
                <w:sz w:val="22"/>
              </w:rPr>
              <w:t>%</w:t>
            </w:r>
          </w:p>
        </w:tc>
        <w:tc>
          <w:tcPr>
            <w:tcW w:type="dxa" w:w="1350"/>
            <w:vAlign w:val="center"/>
          </w:tcPr>
          <w:p>
            <w:pPr>
              <w:spacing w:line="240" w:lineRule="auto" w:before="60" w:after="60"/>
              <w:jc w:val="center"/>
            </w:pPr>
            <w:r>
              <w:rPr>
                <w:b/>
                <w:i w:val="0"/>
                <w:sz w:val="22"/>
              </w:rPr>
              <w:t>Oralidad (n = 78)</w:t>
            </w:r>
          </w:p>
        </w:tc>
        <w:tc>
          <w:tcPr>
            <w:tcW w:type="dxa" w:w="1000"/>
            <w:vAlign w:val="center"/>
          </w:tcPr>
          <w:p>
            <w:pPr>
              <w:spacing w:line="240" w:lineRule="auto" w:before="60" w:after="60"/>
              <w:jc w:val="center"/>
            </w:pPr>
            <w:r>
              <w:rPr>
                <w:b/>
                <w:i w:val="0"/>
                <w:sz w:val="22"/>
              </w:rPr>
              <w:t>%</w:t>
            </w:r>
          </w:p>
        </w:tc>
      </w:tr>
      <w:tr>
        <w:tc>
          <w:tcPr>
            <w:tcW w:type="dxa" w:w="3470"/>
            <w:vAlign w:val="center"/>
          </w:tcPr>
          <w:p>
            <w:pPr>
              <w:spacing w:line="240" w:lineRule="auto" w:before="60" w:after="60"/>
              <w:jc w:val="left"/>
            </w:pPr>
            <w:r>
              <w:rPr>
                <w:b w:val="0"/>
                <w:i w:val="0"/>
                <w:sz w:val="22"/>
              </w:rPr>
              <w:t>Anulada</w:t>
            </w:r>
          </w:p>
        </w:tc>
        <w:tc>
          <w:tcPr>
            <w:tcW w:type="dxa" w:w="1350"/>
            <w:vAlign w:val="center"/>
          </w:tcPr>
          <w:p>
            <w:pPr>
              <w:spacing w:line="240" w:lineRule="auto" w:before="60" w:after="60"/>
              <w:jc w:val="center"/>
            </w:pPr>
            <w:r>
              <w:rPr>
                <w:b w:val="0"/>
                <w:i w:val="0"/>
                <w:sz w:val="22"/>
              </w:rPr>
              <w:t>53</w:t>
            </w:r>
          </w:p>
        </w:tc>
        <w:tc>
          <w:tcPr>
            <w:tcW w:type="dxa" w:w="1000"/>
            <w:vAlign w:val="center"/>
          </w:tcPr>
          <w:p>
            <w:pPr>
              <w:spacing w:line="240" w:lineRule="auto" w:before="60" w:after="60"/>
              <w:jc w:val="center"/>
            </w:pPr>
            <w:r>
              <w:rPr>
                <w:b w:val="0"/>
                <w:i w:val="0"/>
                <w:sz w:val="22"/>
              </w:rPr>
              <w:t>62,4</w:t>
            </w:r>
          </w:p>
        </w:tc>
        <w:tc>
          <w:tcPr>
            <w:tcW w:type="dxa" w:w="1350"/>
            <w:vAlign w:val="center"/>
          </w:tcPr>
          <w:p>
            <w:pPr>
              <w:spacing w:line="240" w:lineRule="auto" w:before="60" w:after="60"/>
              <w:jc w:val="center"/>
            </w:pPr>
            <w:r>
              <w:rPr>
                <w:b w:val="0"/>
                <w:i w:val="0"/>
                <w:sz w:val="22"/>
              </w:rPr>
              <w:t>52</w:t>
            </w:r>
          </w:p>
        </w:tc>
        <w:tc>
          <w:tcPr>
            <w:tcW w:type="dxa" w:w="1000"/>
            <w:vAlign w:val="center"/>
          </w:tcPr>
          <w:p>
            <w:pPr>
              <w:spacing w:line="240" w:lineRule="auto" w:before="60" w:after="60"/>
              <w:jc w:val="center"/>
            </w:pPr>
            <w:r>
              <w:rPr>
                <w:b w:val="0"/>
                <w:i w:val="0"/>
                <w:sz w:val="22"/>
              </w:rPr>
              <w:t>66,7</w:t>
            </w:r>
          </w:p>
        </w:tc>
      </w:tr>
      <w:tr>
        <w:tc>
          <w:tcPr>
            <w:tcW w:type="dxa" w:w="3470"/>
            <w:vAlign w:val="center"/>
          </w:tcPr>
          <w:p>
            <w:pPr>
              <w:spacing w:line="240" w:lineRule="auto" w:before="60" w:after="60"/>
              <w:jc w:val="left"/>
            </w:pPr>
            <w:r>
              <w:rPr>
                <w:b w:val="0"/>
                <w:i w:val="0"/>
                <w:sz w:val="22"/>
              </w:rPr>
              <w:t>Revocada</w:t>
            </w:r>
          </w:p>
        </w:tc>
        <w:tc>
          <w:tcPr>
            <w:tcW w:type="dxa" w:w="1350"/>
            <w:vAlign w:val="center"/>
          </w:tcPr>
          <w:p>
            <w:pPr>
              <w:spacing w:line="240" w:lineRule="auto" w:before="60" w:after="60"/>
              <w:jc w:val="center"/>
            </w:pPr>
            <w:r>
              <w:rPr>
                <w:b w:val="0"/>
                <w:i w:val="0"/>
                <w:sz w:val="22"/>
              </w:rPr>
              <w:t>29</w:t>
            </w:r>
          </w:p>
        </w:tc>
        <w:tc>
          <w:tcPr>
            <w:tcW w:type="dxa" w:w="1000"/>
            <w:vAlign w:val="center"/>
          </w:tcPr>
          <w:p>
            <w:pPr>
              <w:spacing w:line="240" w:lineRule="auto" w:before="60" w:after="60"/>
              <w:jc w:val="center"/>
            </w:pPr>
            <w:r>
              <w:rPr>
                <w:b w:val="0"/>
                <w:i w:val="0"/>
                <w:sz w:val="22"/>
              </w:rPr>
              <w:t>34,1</w:t>
            </w:r>
          </w:p>
        </w:tc>
        <w:tc>
          <w:tcPr>
            <w:tcW w:type="dxa" w:w="1350"/>
            <w:vAlign w:val="center"/>
          </w:tcPr>
          <w:p>
            <w:pPr>
              <w:spacing w:line="240" w:lineRule="auto" w:before="60" w:after="60"/>
              <w:jc w:val="center"/>
            </w:pPr>
            <w:r>
              <w:rPr>
                <w:b w:val="0"/>
                <w:i w:val="0"/>
                <w:sz w:val="22"/>
              </w:rPr>
              <w:t>24</w:t>
            </w:r>
          </w:p>
        </w:tc>
        <w:tc>
          <w:tcPr>
            <w:tcW w:type="dxa" w:w="1000"/>
            <w:vAlign w:val="center"/>
          </w:tcPr>
          <w:p>
            <w:pPr>
              <w:spacing w:line="240" w:lineRule="auto" w:before="60" w:after="60"/>
              <w:jc w:val="center"/>
            </w:pPr>
            <w:r>
              <w:rPr>
                <w:b w:val="0"/>
                <w:i w:val="0"/>
                <w:sz w:val="22"/>
              </w:rPr>
              <w:t>30,8</w:t>
            </w:r>
          </w:p>
        </w:tc>
      </w:tr>
      <w:tr>
        <w:tc>
          <w:tcPr>
            <w:tcW w:type="dxa" w:w="3470"/>
            <w:vAlign w:val="center"/>
          </w:tcPr>
          <w:p>
            <w:pPr>
              <w:spacing w:line="240" w:lineRule="auto" w:before="60" w:after="60"/>
              <w:jc w:val="left"/>
            </w:pPr>
            <w:r>
              <w:rPr>
                <w:b w:val="0"/>
                <w:i w:val="0"/>
                <w:sz w:val="22"/>
              </w:rPr>
              <w:t>Confirmada</w:t>
            </w:r>
          </w:p>
        </w:tc>
        <w:tc>
          <w:tcPr>
            <w:tcW w:type="dxa" w:w="1350"/>
            <w:vAlign w:val="center"/>
          </w:tcPr>
          <w:p>
            <w:pPr>
              <w:spacing w:line="240" w:lineRule="auto" w:before="60" w:after="60"/>
              <w:jc w:val="center"/>
            </w:pPr>
            <w:r>
              <w:rPr>
                <w:b w:val="0"/>
                <w:i w:val="0"/>
                <w:sz w:val="22"/>
              </w:rPr>
              <w:t>1</w:t>
            </w:r>
          </w:p>
        </w:tc>
        <w:tc>
          <w:tcPr>
            <w:tcW w:type="dxa" w:w="1000"/>
            <w:vAlign w:val="center"/>
          </w:tcPr>
          <w:p>
            <w:pPr>
              <w:spacing w:line="240" w:lineRule="auto" w:before="60" w:after="60"/>
              <w:jc w:val="center"/>
            </w:pPr>
            <w:r>
              <w:rPr>
                <w:b w:val="0"/>
                <w:i w:val="0"/>
                <w:sz w:val="22"/>
              </w:rPr>
              <w:t>1,2</w:t>
            </w:r>
          </w:p>
        </w:tc>
        <w:tc>
          <w:tcPr>
            <w:tcW w:type="dxa" w:w="1350"/>
            <w:vAlign w:val="center"/>
          </w:tcPr>
          <w:p>
            <w:pPr>
              <w:spacing w:line="240" w:lineRule="auto" w:before="60" w:after="60"/>
              <w:jc w:val="center"/>
            </w:pPr>
            <w:r>
              <w:rPr>
                <w:b w:val="0"/>
                <w:i w:val="0"/>
                <w:sz w:val="22"/>
              </w:rPr>
              <w:t>1</w:t>
            </w:r>
          </w:p>
        </w:tc>
        <w:tc>
          <w:tcPr>
            <w:tcW w:type="dxa" w:w="1000"/>
            <w:vAlign w:val="center"/>
          </w:tcPr>
          <w:p>
            <w:pPr>
              <w:spacing w:line="240" w:lineRule="auto" w:before="60" w:after="60"/>
              <w:jc w:val="center"/>
            </w:pPr>
            <w:r>
              <w:rPr>
                <w:b w:val="0"/>
                <w:i w:val="0"/>
                <w:sz w:val="22"/>
              </w:rPr>
              <w:t>1,3</w:t>
            </w:r>
          </w:p>
        </w:tc>
      </w:tr>
      <w:tr>
        <w:tc>
          <w:tcPr>
            <w:tcW w:type="dxa" w:w="3470"/>
            <w:vAlign w:val="center"/>
          </w:tcPr>
          <w:p>
            <w:pPr>
              <w:spacing w:line="240" w:lineRule="auto" w:before="60" w:after="60"/>
              <w:jc w:val="left"/>
            </w:pPr>
            <w:r>
              <w:rPr>
                <w:b w:val="0"/>
                <w:i w:val="0"/>
                <w:sz w:val="22"/>
              </w:rPr>
              <w:t>Otro / sin documento</w:t>
            </w:r>
          </w:p>
        </w:tc>
        <w:tc>
          <w:tcPr>
            <w:tcW w:type="dxa" w:w="1350"/>
            <w:vAlign w:val="center"/>
          </w:tcPr>
          <w:p>
            <w:pPr>
              <w:spacing w:line="240" w:lineRule="auto" w:before="60" w:after="60"/>
              <w:jc w:val="center"/>
            </w:pPr>
            <w:r>
              <w:rPr>
                <w:b w:val="0"/>
                <w:i w:val="0"/>
                <w:sz w:val="22"/>
              </w:rPr>
              <w:t>2</w:t>
            </w:r>
          </w:p>
        </w:tc>
        <w:tc>
          <w:tcPr>
            <w:tcW w:type="dxa" w:w="1000"/>
            <w:vAlign w:val="center"/>
          </w:tcPr>
          <w:p>
            <w:pPr>
              <w:spacing w:line="240" w:lineRule="auto" w:before="60" w:after="60"/>
              <w:jc w:val="center"/>
            </w:pPr>
            <w:r>
              <w:rPr>
                <w:b w:val="0"/>
                <w:i w:val="0"/>
                <w:sz w:val="22"/>
              </w:rPr>
              <w:t>2,4</w:t>
            </w:r>
          </w:p>
        </w:tc>
        <w:tc>
          <w:tcPr>
            <w:tcW w:type="dxa" w:w="1350"/>
            <w:vAlign w:val="center"/>
          </w:tcPr>
          <w:p>
            <w:pPr>
              <w:spacing w:line="240" w:lineRule="auto" w:before="60" w:after="60"/>
              <w:jc w:val="center"/>
            </w:pPr>
            <w:r>
              <w:rPr>
                <w:b w:val="0"/>
                <w:i w:val="0"/>
                <w:sz w:val="22"/>
              </w:rPr>
              <w:t>1</w:t>
            </w:r>
          </w:p>
        </w:tc>
        <w:tc>
          <w:tcPr>
            <w:tcW w:type="dxa" w:w="1000"/>
            <w:vAlign w:val="center"/>
          </w:tcPr>
          <w:p>
            <w:pPr>
              <w:spacing w:line="240" w:lineRule="auto" w:before="60" w:after="60"/>
              <w:jc w:val="center"/>
            </w:pPr>
            <w:r>
              <w:rPr>
                <w:b w:val="0"/>
                <w:i w:val="0"/>
                <w:sz w:val="22"/>
              </w:rPr>
              <w:t>1,3</w:t>
            </w:r>
          </w:p>
        </w:tc>
      </w:tr>
      <w:tr>
        <w:tc>
          <w:tcPr>
            <w:tcW w:type="dxa" w:w="3470"/>
            <w:vAlign w:val="center"/>
          </w:tcPr>
          <w:p>
            <w:pPr>
              <w:spacing w:line="240" w:lineRule="auto" w:before="60" w:after="60"/>
              <w:jc w:val="left"/>
            </w:pPr>
            <w:r>
              <w:rPr>
                <w:b/>
                <w:i w:val="0"/>
                <w:sz w:val="22"/>
              </w:rPr>
              <w:t>Total</w:t>
            </w:r>
          </w:p>
        </w:tc>
        <w:tc>
          <w:tcPr>
            <w:tcW w:type="dxa" w:w="1350"/>
            <w:vAlign w:val="center"/>
          </w:tcPr>
          <w:p>
            <w:pPr>
              <w:spacing w:line="240" w:lineRule="auto" w:before="60" w:after="60"/>
              <w:jc w:val="center"/>
            </w:pPr>
            <w:r>
              <w:rPr>
                <w:b/>
                <w:i w:val="0"/>
                <w:sz w:val="22"/>
              </w:rPr>
              <w:t>85</w:t>
            </w:r>
          </w:p>
        </w:tc>
        <w:tc>
          <w:tcPr>
            <w:tcW w:type="dxa" w:w="1000"/>
            <w:vAlign w:val="center"/>
          </w:tcPr>
          <w:p>
            <w:pPr>
              <w:spacing w:line="240" w:lineRule="auto" w:before="60" w:after="60"/>
              <w:jc w:val="center"/>
            </w:pPr>
            <w:r>
              <w:rPr>
                <w:b/>
                <w:i w:val="0"/>
                <w:sz w:val="22"/>
              </w:rPr>
              <w:t>100,0</w:t>
            </w:r>
          </w:p>
        </w:tc>
        <w:tc>
          <w:tcPr>
            <w:tcW w:type="dxa" w:w="1350"/>
            <w:vAlign w:val="center"/>
          </w:tcPr>
          <w:p>
            <w:pPr>
              <w:spacing w:line="240" w:lineRule="auto" w:before="60" w:after="60"/>
              <w:jc w:val="center"/>
            </w:pPr>
            <w:r>
              <w:rPr>
                <w:b/>
                <w:i w:val="0"/>
                <w:sz w:val="22"/>
              </w:rPr>
              <w:t>78</w:t>
            </w:r>
          </w:p>
        </w:tc>
        <w:tc>
          <w:tcPr>
            <w:tcW w:type="dxa" w:w="1000"/>
            <w:vAlign w:val="center"/>
          </w:tcPr>
          <w:p>
            <w:pPr>
              <w:spacing w:line="240" w:lineRule="auto" w:before="60" w:after="60"/>
              <w:jc w:val="center"/>
            </w:pPr>
            <w:r>
              <w:rPr>
                <w:b/>
                <w:i w:val="0"/>
                <w:sz w:val="22"/>
              </w:rPr>
              <w:t>100,0</w:t>
            </w:r>
          </w:p>
        </w:tc>
      </w:tr>
    </w:tbl>
    <w:p>
      <w:pPr>
        <w:spacing w:line="240" w:lineRule="auto" w:after="240" w:before="60"/>
        <w:jc w:val="both"/>
      </w:pPr>
      <w:r>
        <w:rPr>
          <w:i/>
          <w:sz w:val="20"/>
        </w:rPr>
        <w:t xml:space="preserve">Nota. </w:t>
      </w:r>
      <w:r>
        <w:rPr>
          <w:sz w:val="20"/>
        </w:rPr>
        <w:t>Sentencias de vista del corpus documental. El corpus se construyó a partir de listas del SIJ integradas por expedientes anulados o revocados, por lo que esta distribución describe el tipo de censura y no constituye una tasa sobre el total de apelaciones; la estabilidad decisoria se mide en las series anuales (Tablas 1 y 2). Las 53 y 52 sentencias anuladas constituyen la base de la Tabla 6. Fuente: Corpus_unificado_CORREGIDO_SV_CSJA_2_TOTAL_3_FIN.xlsx. Elaboración propia.</w:t>
      </w:r>
    </w:p>
    <w:p>
      <w:pPr>
        <w:spacing w:after="120" w:line="360" w:lineRule="auto"/>
        <w:jc w:val="both"/>
      </w:pPr>
      <w:r>
        <w:rPr>
          <w:b w:val="0"/>
          <w:i w:val="0"/>
        </w:rPr>
        <w:t>De otra parte, a efectos de determinar la naturaleza de los defectos que motivan las sentencias de vista, se aplicó el catálogo empírico de causales, construido a partir de la tipología constitucional de vicios de motivación del caso Llamoja (STC 00728-2008-PHC/TC) y aplicado a las sentencias de vista de las Salas Civiles de la Corte Superior de Justicia de Arequipa que declararon la nulidad, teniéndose la siguiente tabla:</w:t>
      </w:r>
    </w:p>
    <w:p>
      <w:pPr>
        <w:spacing w:after="0" w:line="240" w:lineRule="auto" w:before="240"/>
        <w:jc w:val="left"/>
      </w:pPr>
      <w:r>
        <w:rPr>
          <w:b/>
          <w:i w:val="0"/>
        </w:rPr>
        <w:t>Tabla 6</w:t>
      </w:r>
    </w:p>
    <w:p>
      <w:pPr>
        <w:spacing w:after="120" w:line="276" w:lineRule="auto"/>
        <w:jc w:val="left"/>
      </w:pPr>
      <w:r>
        <w:rPr>
          <w:b w:val="0"/>
          <w:i/>
        </w:rPr>
        <w:t>Causales del pronunciamiento superior, por bloque y período procesal</w:t>
      </w:r>
    </w:p>
    <w:tbl>
      <w:tblPr>
        <w:tblW w:type="dxa" w:w="867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970"/>
        <w:gridCol w:w="1000"/>
        <w:gridCol w:w="850"/>
        <w:gridCol w:w="1000"/>
        <w:gridCol w:w="850"/>
      </w:tblGrid>
      <w:tr>
        <w:tc>
          <w:tcPr>
            <w:tcW w:type="dxa" w:w="4970"/>
            <w:vAlign w:val="center"/>
          </w:tcPr>
          <w:p>
            <w:pPr>
              <w:spacing w:line="240" w:lineRule="auto" w:before="60" w:after="60"/>
              <w:jc w:val="left"/>
            </w:pPr>
            <w:r>
              <w:rPr>
                <w:b/>
                <w:i w:val="0"/>
                <w:sz w:val="20"/>
              </w:rPr>
              <w:t>Bloque / Causal ᵃ</w:t>
            </w:r>
          </w:p>
        </w:tc>
        <w:tc>
          <w:tcPr>
            <w:tcW w:type="dxa" w:w="1000"/>
            <w:vAlign w:val="center"/>
          </w:tcPr>
          <w:p>
            <w:pPr>
              <w:spacing w:line="240" w:lineRule="auto" w:before="60" w:after="60"/>
              <w:jc w:val="center"/>
            </w:pPr>
            <w:r>
              <w:rPr>
                <w:b/>
                <w:i w:val="0"/>
                <w:sz w:val="20"/>
              </w:rPr>
              <w:t>Tradicional (n = 53)</w:t>
            </w:r>
          </w:p>
        </w:tc>
        <w:tc>
          <w:tcPr>
            <w:tcW w:type="dxa" w:w="850"/>
            <w:vAlign w:val="center"/>
          </w:tcPr>
          <w:p>
            <w:pPr>
              <w:spacing w:line="240" w:lineRule="auto" w:before="60" w:after="60"/>
              <w:jc w:val="center"/>
            </w:pPr>
            <w:r>
              <w:rPr>
                <w:b/>
                <w:i w:val="0"/>
                <w:sz w:val="20"/>
              </w:rPr>
              <w:t>%</w:t>
            </w:r>
          </w:p>
        </w:tc>
        <w:tc>
          <w:tcPr>
            <w:tcW w:type="dxa" w:w="1000"/>
            <w:vAlign w:val="center"/>
          </w:tcPr>
          <w:p>
            <w:pPr>
              <w:spacing w:line="240" w:lineRule="auto" w:before="60" w:after="60"/>
              <w:jc w:val="center"/>
            </w:pPr>
            <w:r>
              <w:rPr>
                <w:b/>
                <w:i w:val="0"/>
                <w:sz w:val="20"/>
              </w:rPr>
              <w:t>Oralidad (n = 52)</w:t>
            </w:r>
          </w:p>
        </w:tc>
        <w:tc>
          <w:tcPr>
            <w:tcW w:type="dxa" w:w="850"/>
            <w:vAlign w:val="center"/>
          </w:tcPr>
          <w:p>
            <w:pPr>
              <w:spacing w:line="240" w:lineRule="auto" w:before="60" w:after="60"/>
              <w:jc w:val="center"/>
            </w:pPr>
            <w:r>
              <w:rPr>
                <w:b/>
                <w:i w:val="0"/>
                <w:sz w:val="20"/>
              </w:rPr>
              <w:t>%</w:t>
            </w:r>
          </w:p>
        </w:tc>
      </w:tr>
      <w:tr>
        <w:tc>
          <w:tcPr>
            <w:tcW w:type="dxa" w:w="8670"/>
            <w:gridSpan w:val="5"/>
            <w:vAlign w:val="center"/>
          </w:tcPr>
          <w:p>
            <w:pPr>
              <w:spacing w:line="240" w:lineRule="auto" w:before="60" w:after="60"/>
              <w:jc w:val="left"/>
            </w:pPr>
            <w:r>
              <w:rPr>
                <w:b/>
                <w:i w:val="0"/>
                <w:sz w:val="20"/>
              </w:rPr>
              <w:t xml:space="preserve">I. Vicios </w:t>
            </w:r>
            <w:r>
              <w:rPr>
                <w:b/>
                <w:i/>
                <w:sz w:val="20"/>
              </w:rPr>
              <w:t>in procedendo</w:t>
            </w:r>
            <w:r>
              <w:rPr>
                <w:b/>
                <w:i w:val="0"/>
                <w:sz w:val="20"/>
              </w:rPr>
              <w:t>: relación procesal y procedimiento</w:t>
            </w:r>
          </w:p>
        </w:tc>
      </w:tr>
      <w:tr>
        <w:tc>
          <w:tcPr>
            <w:tcW w:type="dxa" w:w="4970"/>
            <w:vAlign w:val="center"/>
          </w:tcPr>
          <w:p>
            <w:pPr>
              <w:spacing w:line="240" w:lineRule="auto" w:before="60" w:after="60"/>
              <w:jc w:val="left"/>
            </w:pPr>
            <w:r>
              <w:rPr>
                <w:b w:val="0"/>
                <w:i w:val="0"/>
                <w:sz w:val="20"/>
              </w:rPr>
              <w:t>D01 Notificación o emplazamiento defectuoso</w:t>
            </w:r>
          </w:p>
        </w:tc>
        <w:tc>
          <w:tcPr>
            <w:tcW w:type="dxa" w:w="1000"/>
            <w:vAlign w:val="center"/>
          </w:tcPr>
          <w:p>
            <w:pPr>
              <w:spacing w:line="240" w:lineRule="auto" w:before="60" w:after="60"/>
              <w:jc w:val="center"/>
            </w:pPr>
            <w:r>
              <w:rPr>
                <w:b w:val="0"/>
                <w:i w:val="0"/>
                <w:sz w:val="20"/>
              </w:rPr>
              <w:t>5</w:t>
            </w:r>
          </w:p>
        </w:tc>
        <w:tc>
          <w:tcPr>
            <w:tcW w:type="dxa" w:w="850"/>
            <w:vAlign w:val="center"/>
          </w:tcPr>
          <w:p>
            <w:pPr>
              <w:spacing w:line="240" w:lineRule="auto" w:before="60" w:after="60"/>
              <w:jc w:val="center"/>
            </w:pPr>
            <w:r>
              <w:rPr>
                <w:b w:val="0"/>
                <w:i w:val="0"/>
                <w:sz w:val="20"/>
              </w:rPr>
              <w:t>9,4</w:t>
            </w:r>
          </w:p>
        </w:tc>
        <w:tc>
          <w:tcPr>
            <w:tcW w:type="dxa" w:w="1000"/>
            <w:vAlign w:val="center"/>
          </w:tcPr>
          <w:p>
            <w:pPr>
              <w:spacing w:line="240" w:lineRule="auto" w:before="60" w:after="60"/>
              <w:jc w:val="center"/>
            </w:pPr>
            <w:r>
              <w:rPr>
                <w:b w:val="0"/>
                <w:i w:val="0"/>
                <w:sz w:val="20"/>
              </w:rPr>
              <w:t>3</w:t>
            </w:r>
          </w:p>
        </w:tc>
        <w:tc>
          <w:tcPr>
            <w:tcW w:type="dxa" w:w="850"/>
            <w:vAlign w:val="center"/>
          </w:tcPr>
          <w:p>
            <w:pPr>
              <w:spacing w:line="240" w:lineRule="auto" w:before="60" w:after="60"/>
              <w:jc w:val="center"/>
            </w:pPr>
            <w:r>
              <w:rPr>
                <w:b w:val="0"/>
                <w:i w:val="0"/>
                <w:sz w:val="20"/>
              </w:rPr>
              <w:t>5,8</w:t>
            </w:r>
          </w:p>
        </w:tc>
      </w:tr>
      <w:tr>
        <w:tc>
          <w:tcPr>
            <w:tcW w:type="dxa" w:w="4970"/>
            <w:vAlign w:val="center"/>
          </w:tcPr>
          <w:p>
            <w:pPr>
              <w:spacing w:line="240" w:lineRule="auto" w:before="60" w:after="60"/>
              <w:jc w:val="left"/>
            </w:pPr>
            <w:r>
              <w:rPr>
                <w:b w:val="0"/>
                <w:i w:val="0"/>
                <w:sz w:val="20"/>
              </w:rPr>
              <w:t>D02 Vulneración del derecho de defensa</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r>
      <w:tr>
        <w:tc>
          <w:tcPr>
            <w:tcW w:type="dxa" w:w="4970"/>
            <w:vAlign w:val="center"/>
          </w:tcPr>
          <w:p>
            <w:pPr>
              <w:spacing w:line="240" w:lineRule="auto" w:before="60" w:after="60"/>
              <w:jc w:val="left"/>
            </w:pPr>
            <w:r>
              <w:rPr>
                <w:b w:val="0"/>
                <w:i w:val="0"/>
                <w:sz w:val="20"/>
              </w:rPr>
              <w:t>D03 Litisconsorte necesario omitido (art. 95 CPC)</w:t>
            </w:r>
          </w:p>
        </w:tc>
        <w:tc>
          <w:tcPr>
            <w:tcW w:type="dxa" w:w="1000"/>
            <w:vAlign w:val="center"/>
          </w:tcPr>
          <w:p>
            <w:pPr>
              <w:spacing w:line="240" w:lineRule="auto" w:before="60" w:after="60"/>
              <w:jc w:val="center"/>
            </w:pPr>
            <w:r>
              <w:rPr>
                <w:b w:val="0"/>
                <w:i w:val="0"/>
                <w:sz w:val="20"/>
              </w:rPr>
              <w:t>5</w:t>
            </w:r>
          </w:p>
        </w:tc>
        <w:tc>
          <w:tcPr>
            <w:tcW w:type="dxa" w:w="850"/>
            <w:vAlign w:val="center"/>
          </w:tcPr>
          <w:p>
            <w:pPr>
              <w:spacing w:line="240" w:lineRule="auto" w:before="60" w:after="60"/>
              <w:jc w:val="center"/>
            </w:pPr>
            <w:r>
              <w:rPr>
                <w:b w:val="0"/>
                <w:i w:val="0"/>
                <w:sz w:val="20"/>
              </w:rPr>
              <w:t>9,4</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r>
      <w:tr>
        <w:tc>
          <w:tcPr>
            <w:tcW w:type="dxa" w:w="4970"/>
            <w:vAlign w:val="center"/>
          </w:tcPr>
          <w:p>
            <w:pPr>
              <w:spacing w:line="240" w:lineRule="auto" w:before="60" w:after="60"/>
              <w:jc w:val="left"/>
            </w:pPr>
            <w:r>
              <w:rPr>
                <w:b w:val="0"/>
                <w:i w:val="0"/>
                <w:sz w:val="20"/>
              </w:rPr>
              <w:t>D04 Declaración indebida de rebeldía</w:t>
            </w:r>
          </w:p>
        </w:tc>
        <w:tc>
          <w:tcPr>
            <w:tcW w:type="dxa" w:w="1000"/>
            <w:vAlign w:val="center"/>
          </w:tcPr>
          <w:p>
            <w:pPr>
              <w:spacing w:line="240" w:lineRule="auto" w:before="60" w:after="60"/>
              <w:jc w:val="center"/>
            </w:pPr>
            <w:r>
              <w:rPr>
                <w:b w:val="0"/>
                <w:i w:val="0"/>
                <w:sz w:val="20"/>
              </w:rPr>
              <w:t>0</w:t>
            </w:r>
          </w:p>
        </w:tc>
        <w:tc>
          <w:tcPr>
            <w:tcW w:type="dxa" w:w="850"/>
            <w:vAlign w:val="center"/>
          </w:tcPr>
          <w:p>
            <w:pPr>
              <w:spacing w:line="240" w:lineRule="auto" w:before="60" w:after="60"/>
              <w:jc w:val="center"/>
            </w:pPr>
            <w:r>
              <w:rPr>
                <w:b w:val="0"/>
                <w:i w:val="0"/>
                <w:sz w:val="20"/>
              </w:rPr>
              <w:t>0,0</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r>
      <w:tr>
        <w:tc>
          <w:tcPr>
            <w:tcW w:type="dxa" w:w="4970"/>
            <w:vAlign w:val="center"/>
          </w:tcPr>
          <w:p>
            <w:pPr>
              <w:spacing w:line="240" w:lineRule="auto" w:before="60" w:after="60"/>
              <w:jc w:val="left"/>
            </w:pPr>
            <w:r>
              <w:rPr>
                <w:b w:val="0"/>
                <w:i w:val="0"/>
                <w:sz w:val="20"/>
              </w:rPr>
              <w:t>D06 Deficiente fijación de puntos controvertidos</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r>
      <w:tr>
        <w:tc>
          <w:tcPr>
            <w:tcW w:type="dxa" w:w="4970"/>
            <w:vAlign w:val="center"/>
          </w:tcPr>
          <w:p>
            <w:pPr>
              <w:spacing w:line="240" w:lineRule="auto" w:before="60" w:after="60"/>
              <w:jc w:val="left"/>
            </w:pPr>
            <w:r>
              <w:rPr>
                <w:b w:val="0"/>
                <w:i w:val="0"/>
                <w:sz w:val="20"/>
              </w:rPr>
              <w:t>D18 Violación de preclusión procesal</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c>
          <w:tcPr>
            <w:tcW w:type="dxa" w:w="1000"/>
            <w:vAlign w:val="center"/>
          </w:tcPr>
          <w:p>
            <w:pPr>
              <w:spacing w:line="240" w:lineRule="auto" w:before="60" w:after="60"/>
              <w:jc w:val="center"/>
            </w:pPr>
            <w:r>
              <w:rPr>
                <w:b w:val="0"/>
                <w:i w:val="0"/>
                <w:sz w:val="20"/>
              </w:rPr>
              <w:t>0</w:t>
            </w:r>
          </w:p>
        </w:tc>
        <w:tc>
          <w:tcPr>
            <w:tcW w:type="dxa" w:w="850"/>
            <w:vAlign w:val="center"/>
          </w:tcPr>
          <w:p>
            <w:pPr>
              <w:spacing w:line="240" w:lineRule="auto" w:before="60" w:after="60"/>
              <w:jc w:val="center"/>
            </w:pPr>
            <w:r>
              <w:rPr>
                <w:b w:val="0"/>
                <w:i w:val="0"/>
                <w:sz w:val="20"/>
              </w:rPr>
              <w:t>0,0</w:t>
            </w:r>
          </w:p>
        </w:tc>
      </w:tr>
      <w:tr>
        <w:tc>
          <w:tcPr>
            <w:tcW w:type="dxa" w:w="4970"/>
            <w:vAlign w:val="center"/>
          </w:tcPr>
          <w:p>
            <w:pPr>
              <w:spacing w:line="240" w:lineRule="auto" w:before="60" w:after="60"/>
              <w:jc w:val="left"/>
            </w:pPr>
            <w:r>
              <w:rPr>
                <w:b w:val="0"/>
                <w:i w:val="0"/>
                <w:sz w:val="20"/>
              </w:rPr>
              <w:t>D19 Omisión de resolver incidencia previa</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c>
          <w:tcPr>
            <w:tcW w:type="dxa" w:w="1000"/>
            <w:vAlign w:val="center"/>
          </w:tcPr>
          <w:p>
            <w:pPr>
              <w:spacing w:line="240" w:lineRule="auto" w:before="60" w:after="60"/>
              <w:jc w:val="center"/>
            </w:pPr>
            <w:r>
              <w:rPr>
                <w:b w:val="0"/>
                <w:i w:val="0"/>
                <w:sz w:val="20"/>
              </w:rPr>
              <w:t>6</w:t>
            </w:r>
          </w:p>
        </w:tc>
        <w:tc>
          <w:tcPr>
            <w:tcW w:type="dxa" w:w="850"/>
            <w:vAlign w:val="center"/>
          </w:tcPr>
          <w:p>
            <w:pPr>
              <w:spacing w:line="240" w:lineRule="auto" w:before="60" w:after="60"/>
              <w:jc w:val="center"/>
            </w:pPr>
            <w:r>
              <w:rPr>
                <w:b w:val="0"/>
                <w:i w:val="0"/>
                <w:sz w:val="20"/>
              </w:rPr>
              <w:t>11,5</w:t>
            </w:r>
          </w:p>
        </w:tc>
      </w:tr>
      <w:tr>
        <w:tc>
          <w:tcPr>
            <w:tcW w:type="dxa" w:w="4970"/>
            <w:vAlign w:val="center"/>
          </w:tcPr>
          <w:p>
            <w:pPr>
              <w:spacing w:line="240" w:lineRule="auto" w:before="60" w:after="60"/>
              <w:jc w:val="left"/>
            </w:pPr>
            <w:r>
              <w:rPr>
                <w:b w:val="0"/>
                <w:i w:val="0"/>
                <w:sz w:val="20"/>
              </w:rPr>
              <w:t>D20 Otro defecto insubsanable del procedimiento</w:t>
            </w:r>
          </w:p>
        </w:tc>
        <w:tc>
          <w:tcPr>
            <w:tcW w:type="dxa" w:w="1000"/>
            <w:vAlign w:val="center"/>
          </w:tcPr>
          <w:p>
            <w:pPr>
              <w:spacing w:line="240" w:lineRule="auto" w:before="60" w:after="60"/>
              <w:jc w:val="center"/>
            </w:pPr>
            <w:r>
              <w:rPr>
                <w:b w:val="0"/>
                <w:i w:val="0"/>
                <w:sz w:val="20"/>
              </w:rPr>
              <w:t>0</w:t>
            </w:r>
          </w:p>
        </w:tc>
        <w:tc>
          <w:tcPr>
            <w:tcW w:type="dxa" w:w="850"/>
            <w:vAlign w:val="center"/>
          </w:tcPr>
          <w:p>
            <w:pPr>
              <w:spacing w:line="240" w:lineRule="auto" w:before="60" w:after="60"/>
              <w:jc w:val="center"/>
            </w:pPr>
            <w:r>
              <w:rPr>
                <w:b w:val="0"/>
                <w:i w:val="0"/>
                <w:sz w:val="20"/>
              </w:rPr>
              <w:t>0,0</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r>
      <w:tr>
        <w:tc>
          <w:tcPr>
            <w:tcW w:type="dxa" w:w="4970"/>
            <w:vAlign w:val="center"/>
          </w:tcPr>
          <w:p>
            <w:pPr>
              <w:spacing w:line="240" w:lineRule="auto" w:before="60" w:after="60"/>
              <w:jc w:val="left"/>
            </w:pPr>
            <w:r>
              <w:rPr>
                <w:b w:val="0"/>
                <w:i w:val="0"/>
                <w:sz w:val="20"/>
              </w:rPr>
              <w:t>D22 Nulidad refleja, concatenada o sobreviniente</w:t>
            </w:r>
          </w:p>
        </w:tc>
        <w:tc>
          <w:tcPr>
            <w:tcW w:type="dxa" w:w="1000"/>
            <w:vAlign w:val="center"/>
          </w:tcPr>
          <w:p>
            <w:pPr>
              <w:spacing w:line="240" w:lineRule="auto" w:before="60" w:after="60"/>
              <w:jc w:val="center"/>
            </w:pPr>
            <w:r>
              <w:rPr>
                <w:b w:val="0"/>
                <w:i w:val="0"/>
                <w:sz w:val="20"/>
              </w:rPr>
              <w:t>4</w:t>
            </w:r>
          </w:p>
        </w:tc>
        <w:tc>
          <w:tcPr>
            <w:tcW w:type="dxa" w:w="850"/>
            <w:vAlign w:val="center"/>
          </w:tcPr>
          <w:p>
            <w:pPr>
              <w:spacing w:line="240" w:lineRule="auto" w:before="60" w:after="60"/>
              <w:jc w:val="center"/>
            </w:pPr>
            <w:r>
              <w:rPr>
                <w:b w:val="0"/>
                <w:i w:val="0"/>
                <w:sz w:val="20"/>
              </w:rPr>
              <w:t>7,5</w:t>
            </w:r>
          </w:p>
        </w:tc>
        <w:tc>
          <w:tcPr>
            <w:tcW w:type="dxa" w:w="1000"/>
            <w:vAlign w:val="center"/>
          </w:tcPr>
          <w:p>
            <w:pPr>
              <w:spacing w:line="240" w:lineRule="auto" w:before="60" w:after="60"/>
              <w:jc w:val="center"/>
            </w:pPr>
            <w:r>
              <w:rPr>
                <w:b w:val="0"/>
                <w:i w:val="0"/>
                <w:sz w:val="20"/>
              </w:rPr>
              <w:t>6</w:t>
            </w:r>
          </w:p>
        </w:tc>
        <w:tc>
          <w:tcPr>
            <w:tcW w:type="dxa" w:w="850"/>
            <w:vAlign w:val="center"/>
          </w:tcPr>
          <w:p>
            <w:pPr>
              <w:spacing w:line="240" w:lineRule="auto" w:before="60" w:after="60"/>
              <w:jc w:val="center"/>
            </w:pPr>
            <w:r>
              <w:rPr>
                <w:b w:val="0"/>
                <w:i w:val="0"/>
                <w:sz w:val="20"/>
              </w:rPr>
              <w:t>11,5</w:t>
            </w:r>
          </w:p>
        </w:tc>
      </w:tr>
      <w:tr>
        <w:tc>
          <w:tcPr>
            <w:tcW w:type="dxa" w:w="8670"/>
            <w:gridSpan w:val="5"/>
            <w:vAlign w:val="center"/>
          </w:tcPr>
          <w:p>
            <w:pPr>
              <w:spacing w:line="240" w:lineRule="auto" w:before="60" w:after="60"/>
              <w:jc w:val="left"/>
            </w:pPr>
            <w:r>
              <w:rPr>
                <w:b/>
                <w:i w:val="0"/>
                <w:sz w:val="20"/>
              </w:rPr>
              <w:t xml:space="preserve">I. Vicios </w:t>
            </w:r>
            <w:r>
              <w:rPr>
                <w:b/>
                <w:i/>
                <w:sz w:val="20"/>
              </w:rPr>
              <w:t>in procedendo</w:t>
            </w:r>
            <w:r>
              <w:rPr>
                <w:b/>
                <w:i w:val="0"/>
                <w:sz w:val="20"/>
              </w:rPr>
              <w:t>: actividad probatoria</w:t>
            </w:r>
          </w:p>
        </w:tc>
      </w:tr>
      <w:tr>
        <w:tc>
          <w:tcPr>
            <w:tcW w:type="dxa" w:w="4970"/>
            <w:vAlign w:val="center"/>
          </w:tcPr>
          <w:p>
            <w:pPr>
              <w:spacing w:line="240" w:lineRule="auto" w:before="60" w:after="60"/>
              <w:jc w:val="left"/>
            </w:pPr>
            <w:r>
              <w:rPr>
                <w:b w:val="0"/>
                <w:i w:val="0"/>
                <w:sz w:val="20"/>
              </w:rPr>
              <w:t>D07 Prueba admitida y no actuada (art. 234 CPC)</w:t>
            </w:r>
          </w:p>
        </w:tc>
        <w:tc>
          <w:tcPr>
            <w:tcW w:type="dxa" w:w="1000"/>
            <w:vAlign w:val="center"/>
          </w:tcPr>
          <w:p>
            <w:pPr>
              <w:spacing w:line="240" w:lineRule="auto" w:before="60" w:after="60"/>
              <w:jc w:val="center"/>
            </w:pPr>
            <w:r>
              <w:rPr>
                <w:b w:val="0"/>
                <w:i w:val="0"/>
                <w:sz w:val="20"/>
              </w:rPr>
              <w:t>3</w:t>
            </w:r>
          </w:p>
        </w:tc>
        <w:tc>
          <w:tcPr>
            <w:tcW w:type="dxa" w:w="850"/>
            <w:vAlign w:val="center"/>
          </w:tcPr>
          <w:p>
            <w:pPr>
              <w:spacing w:line="240" w:lineRule="auto" w:before="60" w:after="60"/>
              <w:jc w:val="center"/>
            </w:pPr>
            <w:r>
              <w:rPr>
                <w:b w:val="0"/>
                <w:i w:val="0"/>
                <w:sz w:val="20"/>
              </w:rPr>
              <w:t>5,7</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r>
      <w:tr>
        <w:tc>
          <w:tcPr>
            <w:tcW w:type="dxa" w:w="4970"/>
            <w:vAlign w:val="center"/>
          </w:tcPr>
          <w:p>
            <w:pPr>
              <w:spacing w:line="240" w:lineRule="auto" w:before="60" w:after="60"/>
              <w:jc w:val="left"/>
            </w:pPr>
            <w:r>
              <w:rPr>
                <w:b w:val="0"/>
                <w:i w:val="0"/>
                <w:sz w:val="20"/>
              </w:rPr>
              <w:t>D08 Indebida admisión o exclusión de prueba</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c>
          <w:tcPr>
            <w:tcW w:type="dxa" w:w="1000"/>
            <w:vAlign w:val="center"/>
          </w:tcPr>
          <w:p>
            <w:pPr>
              <w:spacing w:line="240" w:lineRule="auto" w:before="60" w:after="60"/>
              <w:jc w:val="center"/>
            </w:pPr>
            <w:r>
              <w:rPr>
                <w:b w:val="0"/>
                <w:i w:val="0"/>
                <w:sz w:val="20"/>
              </w:rPr>
              <w:t>1</w:t>
            </w:r>
          </w:p>
        </w:tc>
        <w:tc>
          <w:tcPr>
            <w:tcW w:type="dxa" w:w="850"/>
            <w:vAlign w:val="center"/>
          </w:tcPr>
          <w:p>
            <w:pPr>
              <w:spacing w:line="240" w:lineRule="auto" w:before="60" w:after="60"/>
              <w:jc w:val="center"/>
            </w:pPr>
            <w:r>
              <w:rPr>
                <w:b w:val="0"/>
                <w:i w:val="0"/>
                <w:sz w:val="20"/>
              </w:rPr>
              <w:t>1,9</w:t>
            </w:r>
          </w:p>
        </w:tc>
      </w:tr>
      <w:tr>
        <w:tc>
          <w:tcPr>
            <w:tcW w:type="dxa" w:w="4970"/>
            <w:vAlign w:val="center"/>
          </w:tcPr>
          <w:p>
            <w:pPr>
              <w:spacing w:line="240" w:lineRule="auto" w:before="60" w:after="60"/>
              <w:jc w:val="left"/>
            </w:pPr>
            <w:r>
              <w:rPr>
                <w:b w:val="0"/>
                <w:i w:val="0"/>
                <w:sz w:val="20"/>
              </w:rPr>
              <w:t>D09 Prueba de oficio irregular (art. 194 CPC)</w:t>
            </w:r>
          </w:p>
        </w:tc>
        <w:tc>
          <w:tcPr>
            <w:tcW w:type="dxa" w:w="1000"/>
            <w:vAlign w:val="center"/>
          </w:tcPr>
          <w:p>
            <w:pPr>
              <w:spacing w:line="240" w:lineRule="auto" w:before="60" w:after="60"/>
              <w:jc w:val="center"/>
            </w:pPr>
            <w:r>
              <w:rPr>
                <w:b w:val="0"/>
                <w:i w:val="0"/>
                <w:sz w:val="20"/>
              </w:rPr>
              <w:t>1</w:t>
            </w:r>
          </w:p>
        </w:tc>
        <w:tc>
          <w:tcPr>
            <w:tcW w:type="dxa" w:w="850"/>
            <w:vAlign w:val="center"/>
          </w:tcPr>
          <w:p>
            <w:pPr>
              <w:spacing w:line="240" w:lineRule="auto" w:before="60" w:after="60"/>
              <w:jc w:val="center"/>
            </w:pPr>
            <w:r>
              <w:rPr>
                <w:b w:val="0"/>
                <w:i w:val="0"/>
                <w:sz w:val="20"/>
              </w:rPr>
              <w:t>1,9</w:t>
            </w:r>
          </w:p>
        </w:tc>
        <w:tc>
          <w:tcPr>
            <w:tcW w:type="dxa" w:w="1000"/>
            <w:vAlign w:val="center"/>
          </w:tcPr>
          <w:p>
            <w:pPr>
              <w:spacing w:line="240" w:lineRule="auto" w:before="60" w:after="60"/>
              <w:jc w:val="center"/>
            </w:pPr>
            <w:r>
              <w:rPr>
                <w:b w:val="0"/>
                <w:i w:val="0"/>
                <w:sz w:val="20"/>
              </w:rPr>
              <w:t>1</w:t>
            </w:r>
          </w:p>
        </w:tc>
        <w:tc>
          <w:tcPr>
            <w:tcW w:type="dxa" w:w="850"/>
            <w:vAlign w:val="center"/>
          </w:tcPr>
          <w:p>
            <w:pPr>
              <w:spacing w:line="240" w:lineRule="auto" w:before="60" w:after="60"/>
              <w:jc w:val="center"/>
            </w:pPr>
            <w:r>
              <w:rPr>
                <w:b w:val="0"/>
                <w:i w:val="0"/>
                <w:sz w:val="20"/>
              </w:rPr>
              <w:t>1,9</w:t>
            </w:r>
          </w:p>
        </w:tc>
      </w:tr>
      <w:tr>
        <w:tc>
          <w:tcPr>
            <w:tcW w:type="dxa" w:w="4970"/>
            <w:vAlign w:val="center"/>
          </w:tcPr>
          <w:p>
            <w:pPr>
              <w:spacing w:line="240" w:lineRule="auto" w:before="60" w:after="60"/>
              <w:jc w:val="left"/>
            </w:pPr>
            <w:r>
              <w:rPr>
                <w:b w:val="0"/>
                <w:i w:val="0"/>
                <w:sz w:val="20"/>
              </w:rPr>
              <w:t>D10 Falta de contradictorio de la prueba</w:t>
            </w:r>
          </w:p>
        </w:tc>
        <w:tc>
          <w:tcPr>
            <w:tcW w:type="dxa" w:w="1000"/>
            <w:vAlign w:val="center"/>
          </w:tcPr>
          <w:p>
            <w:pPr>
              <w:spacing w:line="240" w:lineRule="auto" w:before="60" w:after="60"/>
              <w:jc w:val="center"/>
            </w:pPr>
            <w:r>
              <w:rPr>
                <w:b w:val="0"/>
                <w:i w:val="0"/>
                <w:sz w:val="20"/>
              </w:rPr>
              <w:t>1</w:t>
            </w:r>
          </w:p>
        </w:tc>
        <w:tc>
          <w:tcPr>
            <w:tcW w:type="dxa" w:w="850"/>
            <w:vAlign w:val="center"/>
          </w:tcPr>
          <w:p>
            <w:pPr>
              <w:spacing w:line="240" w:lineRule="auto" w:before="60" w:after="60"/>
              <w:jc w:val="center"/>
            </w:pPr>
            <w:r>
              <w:rPr>
                <w:b w:val="0"/>
                <w:i w:val="0"/>
                <w:sz w:val="20"/>
              </w:rPr>
              <w:t>1,9</w:t>
            </w:r>
          </w:p>
        </w:tc>
        <w:tc>
          <w:tcPr>
            <w:tcW w:type="dxa" w:w="1000"/>
            <w:vAlign w:val="center"/>
          </w:tcPr>
          <w:p>
            <w:pPr>
              <w:spacing w:line="240" w:lineRule="auto" w:before="60" w:after="60"/>
              <w:jc w:val="center"/>
            </w:pPr>
            <w:r>
              <w:rPr>
                <w:b w:val="0"/>
                <w:i w:val="0"/>
                <w:sz w:val="20"/>
              </w:rPr>
              <w:t>1</w:t>
            </w:r>
          </w:p>
        </w:tc>
        <w:tc>
          <w:tcPr>
            <w:tcW w:type="dxa" w:w="850"/>
            <w:vAlign w:val="center"/>
          </w:tcPr>
          <w:p>
            <w:pPr>
              <w:spacing w:line="240" w:lineRule="auto" w:before="60" w:after="60"/>
              <w:jc w:val="center"/>
            </w:pPr>
            <w:r>
              <w:rPr>
                <w:b w:val="0"/>
                <w:i w:val="0"/>
                <w:sz w:val="20"/>
              </w:rPr>
              <w:t>1,9</w:t>
            </w:r>
          </w:p>
        </w:tc>
      </w:tr>
      <w:tr>
        <w:tc>
          <w:tcPr>
            <w:tcW w:type="dxa" w:w="4970"/>
            <w:vAlign w:val="center"/>
          </w:tcPr>
          <w:p>
            <w:pPr>
              <w:spacing w:line="240" w:lineRule="auto" w:before="60" w:after="60"/>
              <w:jc w:val="left"/>
            </w:pPr>
            <w:r>
              <w:rPr>
                <w:b w:val="0"/>
                <w:i w:val="0"/>
                <w:sz w:val="20"/>
              </w:rPr>
              <w:t>D12 Valoración probatoria defectuosa ᵇ</w:t>
            </w:r>
          </w:p>
        </w:tc>
        <w:tc>
          <w:tcPr>
            <w:tcW w:type="dxa" w:w="1000"/>
            <w:vAlign w:val="center"/>
          </w:tcPr>
          <w:p>
            <w:pPr>
              <w:spacing w:line="240" w:lineRule="auto" w:before="60" w:after="60"/>
              <w:jc w:val="center"/>
            </w:pPr>
            <w:r>
              <w:rPr>
                <w:b w:val="0"/>
                <w:i w:val="0"/>
                <w:sz w:val="20"/>
              </w:rPr>
              <w:t>8</w:t>
            </w:r>
          </w:p>
        </w:tc>
        <w:tc>
          <w:tcPr>
            <w:tcW w:type="dxa" w:w="850"/>
            <w:vAlign w:val="center"/>
          </w:tcPr>
          <w:p>
            <w:pPr>
              <w:spacing w:line="240" w:lineRule="auto" w:before="60" w:after="60"/>
              <w:jc w:val="center"/>
            </w:pPr>
            <w:r>
              <w:rPr>
                <w:b w:val="0"/>
                <w:i w:val="0"/>
                <w:sz w:val="20"/>
              </w:rPr>
              <w:t>15,1</w:t>
            </w:r>
          </w:p>
        </w:tc>
        <w:tc>
          <w:tcPr>
            <w:tcW w:type="dxa" w:w="1000"/>
            <w:vAlign w:val="center"/>
          </w:tcPr>
          <w:p>
            <w:pPr>
              <w:spacing w:line="240" w:lineRule="auto" w:before="60" w:after="60"/>
              <w:jc w:val="center"/>
            </w:pPr>
            <w:r>
              <w:rPr>
                <w:b w:val="0"/>
                <w:i w:val="0"/>
                <w:sz w:val="20"/>
              </w:rPr>
              <w:t>10</w:t>
            </w:r>
          </w:p>
        </w:tc>
        <w:tc>
          <w:tcPr>
            <w:tcW w:type="dxa" w:w="850"/>
            <w:vAlign w:val="center"/>
          </w:tcPr>
          <w:p>
            <w:pPr>
              <w:spacing w:line="240" w:lineRule="auto" w:before="60" w:after="60"/>
              <w:jc w:val="center"/>
            </w:pPr>
            <w:r>
              <w:rPr>
                <w:b w:val="0"/>
                <w:i w:val="0"/>
                <w:sz w:val="20"/>
              </w:rPr>
              <w:t>19,2</w:t>
            </w:r>
          </w:p>
        </w:tc>
      </w:tr>
      <w:tr>
        <w:tc>
          <w:tcPr>
            <w:tcW w:type="dxa" w:w="8670"/>
            <w:gridSpan w:val="5"/>
            <w:vAlign w:val="center"/>
          </w:tcPr>
          <w:p>
            <w:pPr>
              <w:spacing w:line="240" w:lineRule="auto" w:before="60" w:after="60"/>
              <w:jc w:val="left"/>
            </w:pPr>
            <w:r>
              <w:rPr>
                <w:b/>
                <w:i w:val="0"/>
                <w:sz w:val="20"/>
              </w:rPr>
              <w:t>II. Vicios de motivación (tipología Llamoja)</w:t>
            </w:r>
          </w:p>
        </w:tc>
      </w:tr>
      <w:tr>
        <w:tc>
          <w:tcPr>
            <w:tcW w:type="dxa" w:w="4970"/>
            <w:vAlign w:val="center"/>
          </w:tcPr>
          <w:p>
            <w:pPr>
              <w:spacing w:line="240" w:lineRule="auto" w:before="60" w:after="60"/>
              <w:jc w:val="left"/>
            </w:pPr>
            <w:r>
              <w:rPr>
                <w:b w:val="0"/>
                <w:i w:val="0"/>
                <w:sz w:val="20"/>
              </w:rPr>
              <w:t>a) Inexistencia o motivación aparente</w:t>
            </w:r>
          </w:p>
        </w:tc>
        <w:tc>
          <w:tcPr>
            <w:tcW w:type="dxa" w:w="1000"/>
            <w:vAlign w:val="center"/>
          </w:tcPr>
          <w:p>
            <w:pPr>
              <w:spacing w:line="240" w:lineRule="auto" w:before="60" w:after="60"/>
              <w:jc w:val="center"/>
            </w:pPr>
            <w:r>
              <w:rPr>
                <w:b w:val="0"/>
                <w:i w:val="0"/>
                <w:sz w:val="20"/>
              </w:rPr>
              <w:t>5</w:t>
            </w:r>
          </w:p>
        </w:tc>
        <w:tc>
          <w:tcPr>
            <w:tcW w:type="dxa" w:w="850"/>
            <w:vAlign w:val="center"/>
          </w:tcPr>
          <w:p>
            <w:pPr>
              <w:spacing w:line="240" w:lineRule="auto" w:before="60" w:after="60"/>
              <w:jc w:val="center"/>
            </w:pPr>
            <w:r>
              <w:rPr>
                <w:b w:val="0"/>
                <w:i w:val="0"/>
                <w:sz w:val="20"/>
              </w:rPr>
              <w:t>9,4</w:t>
            </w:r>
          </w:p>
        </w:tc>
        <w:tc>
          <w:tcPr>
            <w:tcW w:type="dxa" w:w="1000"/>
            <w:vAlign w:val="center"/>
          </w:tcPr>
          <w:p>
            <w:pPr>
              <w:spacing w:line="240" w:lineRule="auto" w:before="60" w:after="60"/>
              <w:jc w:val="center"/>
            </w:pPr>
            <w:r>
              <w:rPr>
                <w:b w:val="0"/>
                <w:i w:val="0"/>
                <w:sz w:val="20"/>
              </w:rPr>
              <w:t>5</w:t>
            </w:r>
          </w:p>
        </w:tc>
        <w:tc>
          <w:tcPr>
            <w:tcW w:type="dxa" w:w="850"/>
            <w:vAlign w:val="center"/>
          </w:tcPr>
          <w:p>
            <w:pPr>
              <w:spacing w:line="240" w:lineRule="auto" w:before="60" w:after="60"/>
              <w:jc w:val="center"/>
            </w:pPr>
            <w:r>
              <w:rPr>
                <w:b w:val="0"/>
                <w:i w:val="0"/>
                <w:sz w:val="20"/>
              </w:rPr>
              <w:t>9,6</w:t>
            </w:r>
          </w:p>
        </w:tc>
      </w:tr>
      <w:tr>
        <w:tc>
          <w:tcPr>
            <w:tcW w:type="dxa" w:w="4970"/>
            <w:vAlign w:val="center"/>
          </w:tcPr>
          <w:p>
            <w:pPr>
              <w:spacing w:line="240" w:lineRule="auto" w:before="60" w:after="60"/>
              <w:jc w:val="left"/>
            </w:pPr>
            <w:r>
              <w:rPr>
                <w:b w:val="0"/>
                <w:i w:val="0"/>
                <w:sz w:val="20"/>
              </w:rPr>
              <w:t>b) Falta de motivación interna</w:t>
            </w:r>
          </w:p>
        </w:tc>
        <w:tc>
          <w:tcPr>
            <w:tcW w:type="dxa" w:w="1000"/>
            <w:vAlign w:val="center"/>
          </w:tcPr>
          <w:p>
            <w:pPr>
              <w:spacing w:line="240" w:lineRule="auto" w:before="60" w:after="60"/>
              <w:jc w:val="center"/>
            </w:pPr>
            <w:r>
              <w:rPr>
                <w:b w:val="0"/>
                <w:i w:val="0"/>
                <w:sz w:val="20"/>
              </w:rPr>
              <w:t>5</w:t>
            </w:r>
          </w:p>
        </w:tc>
        <w:tc>
          <w:tcPr>
            <w:tcW w:type="dxa" w:w="850"/>
            <w:vAlign w:val="center"/>
          </w:tcPr>
          <w:p>
            <w:pPr>
              <w:spacing w:line="240" w:lineRule="auto" w:before="60" w:after="60"/>
              <w:jc w:val="center"/>
            </w:pPr>
            <w:r>
              <w:rPr>
                <w:b w:val="0"/>
                <w:i w:val="0"/>
                <w:sz w:val="20"/>
              </w:rPr>
              <w:t>9,4</w:t>
            </w:r>
          </w:p>
        </w:tc>
        <w:tc>
          <w:tcPr>
            <w:tcW w:type="dxa" w:w="1000"/>
            <w:vAlign w:val="center"/>
          </w:tcPr>
          <w:p>
            <w:pPr>
              <w:spacing w:line="240" w:lineRule="auto" w:before="60" w:after="60"/>
              <w:jc w:val="center"/>
            </w:pPr>
            <w:r>
              <w:rPr>
                <w:b w:val="0"/>
                <w:i w:val="0"/>
                <w:sz w:val="20"/>
              </w:rPr>
              <w:t>4</w:t>
            </w:r>
          </w:p>
        </w:tc>
        <w:tc>
          <w:tcPr>
            <w:tcW w:type="dxa" w:w="850"/>
            <w:vAlign w:val="center"/>
          </w:tcPr>
          <w:p>
            <w:pPr>
              <w:spacing w:line="240" w:lineRule="auto" w:before="60" w:after="60"/>
              <w:jc w:val="center"/>
            </w:pPr>
            <w:r>
              <w:rPr>
                <w:b w:val="0"/>
                <w:i w:val="0"/>
                <w:sz w:val="20"/>
              </w:rPr>
              <w:t>7,7</w:t>
            </w:r>
          </w:p>
        </w:tc>
      </w:tr>
      <w:tr>
        <w:tc>
          <w:tcPr>
            <w:tcW w:type="dxa" w:w="4970"/>
            <w:vAlign w:val="center"/>
          </w:tcPr>
          <w:p>
            <w:pPr>
              <w:spacing w:line="240" w:lineRule="auto" w:before="60" w:after="60"/>
              <w:jc w:val="left"/>
            </w:pPr>
            <w:r>
              <w:rPr>
                <w:b w:val="0"/>
                <w:i w:val="0"/>
                <w:sz w:val="20"/>
              </w:rPr>
              <w:t>c) Deficiencia en la motivación externa</w:t>
            </w:r>
          </w:p>
        </w:tc>
        <w:tc>
          <w:tcPr>
            <w:tcW w:type="dxa" w:w="1000"/>
            <w:vAlign w:val="center"/>
          </w:tcPr>
          <w:p>
            <w:pPr>
              <w:spacing w:line="240" w:lineRule="auto" w:before="60" w:after="60"/>
              <w:jc w:val="center"/>
            </w:pPr>
            <w:r>
              <w:rPr>
                <w:b w:val="0"/>
                <w:i w:val="0"/>
                <w:sz w:val="20"/>
              </w:rPr>
              <w:t>3</w:t>
            </w:r>
          </w:p>
        </w:tc>
        <w:tc>
          <w:tcPr>
            <w:tcW w:type="dxa" w:w="850"/>
            <w:vAlign w:val="center"/>
          </w:tcPr>
          <w:p>
            <w:pPr>
              <w:spacing w:line="240" w:lineRule="auto" w:before="60" w:after="60"/>
              <w:jc w:val="center"/>
            </w:pPr>
            <w:r>
              <w:rPr>
                <w:b w:val="0"/>
                <w:i w:val="0"/>
                <w:sz w:val="20"/>
              </w:rPr>
              <w:t>5,7</w:t>
            </w:r>
          </w:p>
        </w:tc>
        <w:tc>
          <w:tcPr>
            <w:tcW w:type="dxa" w:w="1000"/>
            <w:vAlign w:val="center"/>
          </w:tcPr>
          <w:p>
            <w:pPr>
              <w:spacing w:line="240" w:lineRule="auto" w:before="60" w:after="60"/>
              <w:jc w:val="center"/>
            </w:pPr>
            <w:r>
              <w:rPr>
                <w:b w:val="0"/>
                <w:i w:val="0"/>
                <w:sz w:val="20"/>
              </w:rPr>
              <w:t>6</w:t>
            </w:r>
          </w:p>
        </w:tc>
        <w:tc>
          <w:tcPr>
            <w:tcW w:type="dxa" w:w="850"/>
            <w:vAlign w:val="center"/>
          </w:tcPr>
          <w:p>
            <w:pPr>
              <w:spacing w:line="240" w:lineRule="auto" w:before="60" w:after="60"/>
              <w:jc w:val="center"/>
            </w:pPr>
            <w:r>
              <w:rPr>
                <w:b w:val="0"/>
                <w:i w:val="0"/>
                <w:sz w:val="20"/>
              </w:rPr>
              <w:t>11,5</w:t>
            </w:r>
          </w:p>
        </w:tc>
      </w:tr>
      <w:tr>
        <w:tc>
          <w:tcPr>
            <w:tcW w:type="dxa" w:w="4970"/>
            <w:vAlign w:val="center"/>
          </w:tcPr>
          <w:p>
            <w:pPr>
              <w:spacing w:line="240" w:lineRule="auto" w:before="60" w:after="60"/>
              <w:jc w:val="left"/>
            </w:pPr>
            <w:r>
              <w:rPr>
                <w:b w:val="0"/>
                <w:i w:val="0"/>
                <w:sz w:val="20"/>
              </w:rPr>
              <w:t>d) Motivación insuficiente ᶜ</w:t>
            </w:r>
          </w:p>
        </w:tc>
        <w:tc>
          <w:tcPr>
            <w:tcW w:type="dxa" w:w="1000"/>
            <w:vAlign w:val="center"/>
          </w:tcPr>
          <w:p>
            <w:pPr>
              <w:spacing w:line="240" w:lineRule="auto" w:before="60" w:after="60"/>
              <w:jc w:val="center"/>
            </w:pPr>
            <w:r>
              <w:rPr>
                <w:b w:val="0"/>
                <w:i w:val="0"/>
                <w:sz w:val="20"/>
              </w:rPr>
              <w:t>8</w:t>
            </w:r>
          </w:p>
        </w:tc>
        <w:tc>
          <w:tcPr>
            <w:tcW w:type="dxa" w:w="850"/>
            <w:vAlign w:val="center"/>
          </w:tcPr>
          <w:p>
            <w:pPr>
              <w:spacing w:line="240" w:lineRule="auto" w:before="60" w:after="60"/>
              <w:jc w:val="center"/>
            </w:pPr>
            <w:r>
              <w:rPr>
                <w:b w:val="0"/>
                <w:i w:val="0"/>
                <w:sz w:val="20"/>
              </w:rPr>
              <w:t>15,1</w:t>
            </w:r>
          </w:p>
        </w:tc>
        <w:tc>
          <w:tcPr>
            <w:tcW w:type="dxa" w:w="1000"/>
            <w:vAlign w:val="center"/>
          </w:tcPr>
          <w:p>
            <w:pPr>
              <w:spacing w:line="240" w:lineRule="auto" w:before="60" w:after="60"/>
              <w:jc w:val="center"/>
            </w:pPr>
            <w:r>
              <w:rPr>
                <w:b w:val="0"/>
                <w:i w:val="0"/>
                <w:sz w:val="20"/>
              </w:rPr>
              <w:t>15</w:t>
            </w:r>
          </w:p>
        </w:tc>
        <w:tc>
          <w:tcPr>
            <w:tcW w:type="dxa" w:w="850"/>
            <w:vAlign w:val="center"/>
          </w:tcPr>
          <w:p>
            <w:pPr>
              <w:spacing w:line="240" w:lineRule="auto" w:before="60" w:after="60"/>
              <w:jc w:val="center"/>
            </w:pPr>
            <w:r>
              <w:rPr>
                <w:b w:val="0"/>
                <w:i w:val="0"/>
                <w:sz w:val="20"/>
              </w:rPr>
              <w:t>28,8</w:t>
            </w:r>
          </w:p>
        </w:tc>
      </w:tr>
      <w:tr>
        <w:tc>
          <w:tcPr>
            <w:tcW w:type="dxa" w:w="4970"/>
            <w:vAlign w:val="center"/>
          </w:tcPr>
          <w:p>
            <w:pPr>
              <w:spacing w:line="240" w:lineRule="auto" w:before="60" w:after="60"/>
              <w:jc w:val="left"/>
            </w:pPr>
            <w:r>
              <w:rPr>
                <w:b w:val="0"/>
                <w:i w:val="0"/>
                <w:sz w:val="20"/>
              </w:rPr>
              <w:t xml:space="preserve">   de ello: omisión de valoración de prueba admitida o decisiva</w:t>
            </w:r>
          </w:p>
        </w:tc>
        <w:tc>
          <w:tcPr>
            <w:tcW w:type="dxa" w:w="1000"/>
            <w:vAlign w:val="center"/>
          </w:tcPr>
          <w:p>
            <w:pPr>
              <w:spacing w:line="240" w:lineRule="auto" w:before="60" w:after="60"/>
              <w:jc w:val="center"/>
            </w:pPr>
            <w:r>
              <w:rPr>
                <w:b w:val="0"/>
                <w:i w:val="0"/>
                <w:sz w:val="20"/>
              </w:rPr>
              <w:t>2</w:t>
            </w:r>
          </w:p>
        </w:tc>
        <w:tc>
          <w:tcPr>
            <w:tcW w:type="dxa" w:w="850"/>
            <w:vAlign w:val="center"/>
          </w:tcPr>
          <w:p>
            <w:pPr>
              <w:spacing w:line="240" w:lineRule="auto" w:before="60" w:after="60"/>
              <w:jc w:val="center"/>
            </w:pPr>
            <w:r>
              <w:rPr>
                <w:b w:val="0"/>
                <w:i w:val="0"/>
                <w:sz w:val="20"/>
              </w:rPr>
              <w:t>3,8</w:t>
            </w:r>
          </w:p>
        </w:tc>
        <w:tc>
          <w:tcPr>
            <w:tcW w:type="dxa" w:w="1000"/>
            <w:vAlign w:val="center"/>
          </w:tcPr>
          <w:p>
            <w:pPr>
              <w:spacing w:line="240" w:lineRule="auto" w:before="60" w:after="60"/>
              <w:jc w:val="center"/>
            </w:pPr>
            <w:r>
              <w:rPr>
                <w:b w:val="0"/>
                <w:i w:val="0"/>
                <w:sz w:val="20"/>
              </w:rPr>
              <w:t>6</w:t>
            </w:r>
          </w:p>
        </w:tc>
        <w:tc>
          <w:tcPr>
            <w:tcW w:type="dxa" w:w="850"/>
            <w:vAlign w:val="center"/>
          </w:tcPr>
          <w:p>
            <w:pPr>
              <w:spacing w:line="240" w:lineRule="auto" w:before="60" w:after="60"/>
              <w:jc w:val="center"/>
            </w:pPr>
            <w:r>
              <w:rPr>
                <w:b w:val="0"/>
                <w:i w:val="0"/>
                <w:sz w:val="20"/>
              </w:rPr>
              <w:t>11,5</w:t>
            </w:r>
          </w:p>
        </w:tc>
      </w:tr>
      <w:tr>
        <w:tc>
          <w:tcPr>
            <w:tcW w:type="dxa" w:w="4970"/>
            <w:vAlign w:val="center"/>
          </w:tcPr>
          <w:p>
            <w:pPr>
              <w:spacing w:line="240" w:lineRule="auto" w:before="60" w:after="60"/>
              <w:jc w:val="left"/>
            </w:pPr>
            <w:r>
              <w:rPr>
                <w:b w:val="0"/>
                <w:i w:val="0"/>
                <w:sz w:val="20"/>
              </w:rPr>
              <w:t>e) Motivación sustancialmente incongruente</w:t>
            </w:r>
          </w:p>
        </w:tc>
        <w:tc>
          <w:tcPr>
            <w:tcW w:type="dxa" w:w="1000"/>
            <w:vAlign w:val="center"/>
          </w:tcPr>
          <w:p>
            <w:pPr>
              <w:spacing w:line="240" w:lineRule="auto" w:before="60" w:after="60"/>
              <w:jc w:val="center"/>
            </w:pPr>
            <w:r>
              <w:rPr>
                <w:b w:val="0"/>
                <w:i w:val="0"/>
                <w:sz w:val="20"/>
              </w:rPr>
              <w:t>17</w:t>
            </w:r>
          </w:p>
        </w:tc>
        <w:tc>
          <w:tcPr>
            <w:tcW w:type="dxa" w:w="850"/>
            <w:vAlign w:val="center"/>
          </w:tcPr>
          <w:p>
            <w:pPr>
              <w:spacing w:line="240" w:lineRule="auto" w:before="60" w:after="60"/>
              <w:jc w:val="center"/>
            </w:pPr>
            <w:r>
              <w:rPr>
                <w:b w:val="0"/>
                <w:i w:val="0"/>
                <w:sz w:val="20"/>
              </w:rPr>
              <w:t>32,1</w:t>
            </w:r>
          </w:p>
        </w:tc>
        <w:tc>
          <w:tcPr>
            <w:tcW w:type="dxa" w:w="1000"/>
            <w:vAlign w:val="center"/>
          </w:tcPr>
          <w:p>
            <w:pPr>
              <w:spacing w:line="240" w:lineRule="auto" w:before="60" w:after="60"/>
              <w:jc w:val="center"/>
            </w:pPr>
            <w:r>
              <w:rPr>
                <w:b w:val="0"/>
                <w:i w:val="0"/>
                <w:sz w:val="20"/>
              </w:rPr>
              <w:t>13</w:t>
            </w:r>
          </w:p>
        </w:tc>
        <w:tc>
          <w:tcPr>
            <w:tcW w:type="dxa" w:w="850"/>
            <w:vAlign w:val="center"/>
          </w:tcPr>
          <w:p>
            <w:pPr>
              <w:spacing w:line="240" w:lineRule="auto" w:before="60" w:after="60"/>
              <w:jc w:val="center"/>
            </w:pPr>
            <w:r>
              <w:rPr>
                <w:b w:val="0"/>
                <w:i w:val="0"/>
                <w:sz w:val="20"/>
              </w:rPr>
              <w:t>25,0</w:t>
            </w:r>
          </w:p>
        </w:tc>
      </w:tr>
      <w:tr>
        <w:tc>
          <w:tcPr>
            <w:tcW w:type="dxa" w:w="4970"/>
            <w:vAlign w:val="center"/>
          </w:tcPr>
          <w:p>
            <w:pPr>
              <w:spacing w:line="240" w:lineRule="auto" w:before="60" w:after="60"/>
              <w:jc w:val="left"/>
            </w:pPr>
            <w:r>
              <w:rPr>
                <w:b w:val="0"/>
                <w:i w:val="0"/>
                <w:sz w:val="20"/>
              </w:rPr>
              <w:t xml:space="preserve">   de ello: incongruencia ultra, extra, citra o infra petita ᵈ</w:t>
            </w:r>
          </w:p>
        </w:tc>
        <w:tc>
          <w:tcPr>
            <w:tcW w:type="dxa" w:w="1000"/>
            <w:vAlign w:val="center"/>
          </w:tcPr>
          <w:p>
            <w:pPr>
              <w:spacing w:line="240" w:lineRule="auto" w:before="60" w:after="60"/>
              <w:jc w:val="center"/>
            </w:pPr>
            <w:r>
              <w:rPr>
                <w:b w:val="0"/>
                <w:i w:val="0"/>
                <w:sz w:val="20"/>
              </w:rPr>
              <w:t>—</w:t>
            </w:r>
          </w:p>
        </w:tc>
        <w:tc>
          <w:tcPr>
            <w:tcW w:type="dxa" w:w="850"/>
            <w:vAlign w:val="center"/>
          </w:tcPr>
          <w:p>
            <w:pPr>
              <w:spacing w:line="240" w:lineRule="auto" w:before="60" w:after="60"/>
              <w:jc w:val="center"/>
            </w:pPr>
            <w:r>
              <w:rPr>
                <w:b w:val="0"/>
                <w:i w:val="0"/>
                <w:sz w:val="20"/>
              </w:rPr>
              <w:t>—</w:t>
            </w:r>
          </w:p>
        </w:tc>
        <w:tc>
          <w:tcPr>
            <w:tcW w:type="dxa" w:w="1000"/>
            <w:vAlign w:val="center"/>
          </w:tcPr>
          <w:p>
            <w:pPr>
              <w:spacing w:line="240" w:lineRule="auto" w:before="60" w:after="60"/>
              <w:jc w:val="center"/>
            </w:pPr>
            <w:r>
              <w:rPr>
                <w:b w:val="0"/>
                <w:i w:val="0"/>
                <w:sz w:val="20"/>
              </w:rPr>
              <w:t>—</w:t>
            </w:r>
          </w:p>
        </w:tc>
        <w:tc>
          <w:tcPr>
            <w:tcW w:type="dxa" w:w="850"/>
            <w:vAlign w:val="center"/>
          </w:tcPr>
          <w:p>
            <w:pPr>
              <w:spacing w:line="240" w:lineRule="auto" w:before="60" w:after="60"/>
              <w:jc w:val="center"/>
            </w:pPr>
            <w:r>
              <w:rPr>
                <w:b w:val="0"/>
                <w:i w:val="0"/>
                <w:sz w:val="20"/>
              </w:rPr>
              <w:t>—</w:t>
            </w:r>
          </w:p>
        </w:tc>
      </w:tr>
      <w:tr>
        <w:tc>
          <w:tcPr>
            <w:tcW w:type="dxa" w:w="4970"/>
            <w:vAlign w:val="center"/>
          </w:tcPr>
          <w:p>
            <w:pPr>
              <w:spacing w:line="240" w:lineRule="auto" w:before="60" w:after="60"/>
              <w:jc w:val="left"/>
            </w:pPr>
            <w:r>
              <w:rPr>
                <w:b w:val="0"/>
                <w:i w:val="0"/>
                <w:sz w:val="20"/>
              </w:rPr>
              <w:t>f) Motivación cualificada ᵉ</w:t>
            </w:r>
          </w:p>
        </w:tc>
        <w:tc>
          <w:tcPr>
            <w:tcW w:type="dxa" w:w="1000"/>
            <w:vAlign w:val="center"/>
          </w:tcPr>
          <w:p>
            <w:pPr>
              <w:spacing w:line="240" w:lineRule="auto" w:before="60" w:after="60"/>
              <w:jc w:val="center"/>
            </w:pPr>
            <w:r>
              <w:rPr>
                <w:b w:val="0"/>
                <w:i w:val="0"/>
                <w:sz w:val="20"/>
              </w:rPr>
              <w:t>—</w:t>
            </w:r>
          </w:p>
        </w:tc>
        <w:tc>
          <w:tcPr>
            <w:tcW w:type="dxa" w:w="850"/>
            <w:vAlign w:val="center"/>
          </w:tcPr>
          <w:p>
            <w:pPr>
              <w:spacing w:line="240" w:lineRule="auto" w:before="60" w:after="60"/>
              <w:jc w:val="center"/>
            </w:pPr>
            <w:r>
              <w:rPr>
                <w:b w:val="0"/>
                <w:i w:val="0"/>
                <w:sz w:val="20"/>
              </w:rPr>
              <w:t>—</w:t>
            </w:r>
          </w:p>
        </w:tc>
        <w:tc>
          <w:tcPr>
            <w:tcW w:type="dxa" w:w="1000"/>
            <w:vAlign w:val="center"/>
          </w:tcPr>
          <w:p>
            <w:pPr>
              <w:spacing w:line="240" w:lineRule="auto" w:before="60" w:after="60"/>
              <w:jc w:val="center"/>
            </w:pPr>
            <w:r>
              <w:rPr>
                <w:b w:val="0"/>
                <w:i w:val="0"/>
                <w:sz w:val="20"/>
              </w:rPr>
              <w:t>—</w:t>
            </w:r>
          </w:p>
        </w:tc>
        <w:tc>
          <w:tcPr>
            <w:tcW w:type="dxa" w:w="850"/>
            <w:vAlign w:val="center"/>
          </w:tcPr>
          <w:p>
            <w:pPr>
              <w:spacing w:line="240" w:lineRule="auto" w:before="60" w:after="60"/>
              <w:jc w:val="center"/>
            </w:pPr>
            <w:r>
              <w:rPr>
                <w:b w:val="0"/>
                <w:i w:val="0"/>
                <w:sz w:val="20"/>
              </w:rPr>
              <w:t>—</w:t>
            </w:r>
          </w:p>
        </w:tc>
      </w:tr>
      <w:tr>
        <w:tc>
          <w:tcPr>
            <w:tcW w:type="dxa" w:w="4970"/>
            <w:vAlign w:val="center"/>
          </w:tcPr>
          <w:p>
            <w:pPr>
              <w:spacing w:line="240" w:lineRule="auto" w:before="60" w:after="60"/>
              <w:jc w:val="left"/>
            </w:pPr>
            <w:r>
              <w:rPr>
                <w:b w:val="0"/>
                <w:i w:val="0"/>
                <w:sz w:val="20"/>
              </w:rPr>
              <w:t>g) Motivación defectuosa sin especificación (residual) ᶠ</w:t>
            </w:r>
          </w:p>
        </w:tc>
        <w:tc>
          <w:tcPr>
            <w:tcW w:type="dxa" w:w="1000"/>
            <w:vAlign w:val="center"/>
          </w:tcPr>
          <w:p>
            <w:pPr>
              <w:spacing w:line="240" w:lineRule="auto" w:before="60" w:after="60"/>
              <w:jc w:val="center"/>
            </w:pPr>
            <w:r>
              <w:rPr>
                <w:b w:val="0"/>
                <w:i w:val="0"/>
                <w:sz w:val="20"/>
              </w:rPr>
              <w:t>10</w:t>
            </w:r>
          </w:p>
        </w:tc>
        <w:tc>
          <w:tcPr>
            <w:tcW w:type="dxa" w:w="850"/>
            <w:vAlign w:val="center"/>
          </w:tcPr>
          <w:p>
            <w:pPr>
              <w:spacing w:line="240" w:lineRule="auto" w:before="60" w:after="60"/>
              <w:jc w:val="center"/>
            </w:pPr>
            <w:r>
              <w:rPr>
                <w:b w:val="0"/>
                <w:i w:val="0"/>
                <w:sz w:val="20"/>
              </w:rPr>
              <w:t>18,9</w:t>
            </w:r>
          </w:p>
        </w:tc>
        <w:tc>
          <w:tcPr>
            <w:tcW w:type="dxa" w:w="1000"/>
            <w:vAlign w:val="center"/>
          </w:tcPr>
          <w:p>
            <w:pPr>
              <w:spacing w:line="240" w:lineRule="auto" w:before="60" w:after="60"/>
              <w:jc w:val="center"/>
            </w:pPr>
            <w:r>
              <w:rPr>
                <w:b w:val="0"/>
                <w:i w:val="0"/>
                <w:sz w:val="20"/>
              </w:rPr>
              <w:t>9</w:t>
            </w:r>
          </w:p>
        </w:tc>
        <w:tc>
          <w:tcPr>
            <w:tcW w:type="dxa" w:w="850"/>
            <w:vAlign w:val="center"/>
          </w:tcPr>
          <w:p>
            <w:pPr>
              <w:spacing w:line="240" w:lineRule="auto" w:before="60" w:after="60"/>
              <w:jc w:val="center"/>
            </w:pPr>
            <w:r>
              <w:rPr>
                <w:b w:val="0"/>
                <w:i w:val="0"/>
                <w:sz w:val="20"/>
              </w:rPr>
              <w:t>17,3</w:t>
            </w:r>
          </w:p>
        </w:tc>
      </w:tr>
      <w:tr>
        <w:tc>
          <w:tcPr>
            <w:tcW w:type="dxa" w:w="8670"/>
            <w:gridSpan w:val="5"/>
            <w:vAlign w:val="center"/>
          </w:tcPr>
          <w:p>
            <w:pPr>
              <w:spacing w:line="240" w:lineRule="auto" w:before="60" w:after="60"/>
              <w:jc w:val="left"/>
            </w:pPr>
            <w:r>
              <w:rPr>
                <w:b/>
                <w:i w:val="0"/>
                <w:sz w:val="20"/>
              </w:rPr>
              <w:t>III. Resoluciones con al menos una causal, por bloque</w:t>
            </w:r>
          </w:p>
        </w:tc>
      </w:tr>
      <w:tr>
        <w:tc>
          <w:tcPr>
            <w:tcW w:type="dxa" w:w="4970"/>
            <w:vAlign w:val="center"/>
          </w:tcPr>
          <w:p>
            <w:pPr>
              <w:spacing w:line="240" w:lineRule="auto" w:before="60" w:after="60"/>
              <w:jc w:val="left"/>
            </w:pPr>
            <w:r>
              <w:rPr>
                <w:b w:val="0"/>
                <w:i w:val="0"/>
                <w:sz w:val="20"/>
              </w:rPr>
              <w:t>Relación procesal y procedimiento</w:t>
            </w:r>
          </w:p>
        </w:tc>
        <w:tc>
          <w:tcPr>
            <w:tcW w:type="dxa" w:w="1000"/>
            <w:vAlign w:val="center"/>
          </w:tcPr>
          <w:p>
            <w:pPr>
              <w:spacing w:line="240" w:lineRule="auto" w:before="60" w:after="60"/>
              <w:jc w:val="center"/>
            </w:pPr>
            <w:r>
              <w:rPr>
                <w:b w:val="0"/>
                <w:i w:val="0"/>
                <w:sz w:val="20"/>
              </w:rPr>
              <w:t>20</w:t>
            </w:r>
          </w:p>
        </w:tc>
        <w:tc>
          <w:tcPr>
            <w:tcW w:type="dxa" w:w="850"/>
            <w:vAlign w:val="center"/>
          </w:tcPr>
          <w:p>
            <w:pPr>
              <w:spacing w:line="240" w:lineRule="auto" w:before="60" w:after="60"/>
              <w:jc w:val="center"/>
            </w:pPr>
            <w:r>
              <w:rPr>
                <w:b w:val="0"/>
                <w:i w:val="0"/>
                <w:sz w:val="20"/>
              </w:rPr>
              <w:t>37,7</w:t>
            </w:r>
          </w:p>
        </w:tc>
        <w:tc>
          <w:tcPr>
            <w:tcW w:type="dxa" w:w="1000"/>
            <w:vAlign w:val="center"/>
          </w:tcPr>
          <w:p>
            <w:pPr>
              <w:spacing w:line="240" w:lineRule="auto" w:before="60" w:after="60"/>
              <w:jc w:val="center"/>
            </w:pPr>
            <w:r>
              <w:rPr>
                <w:b w:val="0"/>
                <w:i w:val="0"/>
                <w:sz w:val="20"/>
              </w:rPr>
              <w:t>17</w:t>
            </w:r>
          </w:p>
        </w:tc>
        <w:tc>
          <w:tcPr>
            <w:tcW w:type="dxa" w:w="850"/>
            <w:vAlign w:val="center"/>
          </w:tcPr>
          <w:p>
            <w:pPr>
              <w:spacing w:line="240" w:lineRule="auto" w:before="60" w:after="60"/>
              <w:jc w:val="center"/>
            </w:pPr>
            <w:r>
              <w:rPr>
                <w:b w:val="0"/>
                <w:i w:val="0"/>
                <w:sz w:val="20"/>
              </w:rPr>
              <w:t>32,7</w:t>
            </w:r>
          </w:p>
        </w:tc>
      </w:tr>
      <w:tr>
        <w:tc>
          <w:tcPr>
            <w:tcW w:type="dxa" w:w="4970"/>
            <w:vAlign w:val="center"/>
          </w:tcPr>
          <w:p>
            <w:pPr>
              <w:spacing w:line="240" w:lineRule="auto" w:before="60" w:after="60"/>
              <w:jc w:val="left"/>
            </w:pPr>
            <w:r>
              <w:rPr>
                <w:b w:val="0"/>
                <w:i w:val="0"/>
                <w:sz w:val="20"/>
              </w:rPr>
              <w:t>Actividad probatoria</w:t>
            </w:r>
          </w:p>
        </w:tc>
        <w:tc>
          <w:tcPr>
            <w:tcW w:type="dxa" w:w="1000"/>
            <w:vAlign w:val="center"/>
          </w:tcPr>
          <w:p>
            <w:pPr>
              <w:spacing w:line="240" w:lineRule="auto" w:before="60" w:after="60"/>
              <w:jc w:val="center"/>
            </w:pPr>
            <w:r>
              <w:rPr>
                <w:b w:val="0"/>
                <w:i w:val="0"/>
                <w:sz w:val="20"/>
              </w:rPr>
              <w:t>12</w:t>
            </w:r>
          </w:p>
        </w:tc>
        <w:tc>
          <w:tcPr>
            <w:tcW w:type="dxa" w:w="850"/>
            <w:vAlign w:val="center"/>
          </w:tcPr>
          <w:p>
            <w:pPr>
              <w:spacing w:line="240" w:lineRule="auto" w:before="60" w:after="60"/>
              <w:jc w:val="center"/>
            </w:pPr>
            <w:r>
              <w:rPr>
                <w:b w:val="0"/>
                <w:i w:val="0"/>
                <w:sz w:val="20"/>
              </w:rPr>
              <w:t>22,6</w:t>
            </w:r>
          </w:p>
        </w:tc>
        <w:tc>
          <w:tcPr>
            <w:tcW w:type="dxa" w:w="1000"/>
            <w:vAlign w:val="center"/>
          </w:tcPr>
          <w:p>
            <w:pPr>
              <w:spacing w:line="240" w:lineRule="auto" w:before="60" w:after="60"/>
              <w:jc w:val="center"/>
            </w:pPr>
            <w:r>
              <w:rPr>
                <w:b w:val="0"/>
                <w:i w:val="0"/>
                <w:sz w:val="20"/>
              </w:rPr>
              <w:t>13</w:t>
            </w:r>
          </w:p>
        </w:tc>
        <w:tc>
          <w:tcPr>
            <w:tcW w:type="dxa" w:w="850"/>
            <w:vAlign w:val="center"/>
          </w:tcPr>
          <w:p>
            <w:pPr>
              <w:spacing w:line="240" w:lineRule="auto" w:before="60" w:after="60"/>
              <w:jc w:val="center"/>
            </w:pPr>
            <w:r>
              <w:rPr>
                <w:b w:val="0"/>
                <w:i w:val="0"/>
                <w:sz w:val="20"/>
              </w:rPr>
              <w:t>25,0</w:t>
            </w:r>
          </w:p>
        </w:tc>
      </w:tr>
      <w:tr>
        <w:tc>
          <w:tcPr>
            <w:tcW w:type="dxa" w:w="4970"/>
            <w:vAlign w:val="center"/>
          </w:tcPr>
          <w:p>
            <w:pPr>
              <w:spacing w:line="240" w:lineRule="auto" w:before="60" w:after="60"/>
              <w:jc w:val="left"/>
            </w:pPr>
            <w:r>
              <w:rPr>
                <w:b w:val="0"/>
                <w:i w:val="0"/>
                <w:sz w:val="20"/>
              </w:rPr>
              <w:t>Vicios de motivación a) – e)</w:t>
            </w:r>
          </w:p>
        </w:tc>
        <w:tc>
          <w:tcPr>
            <w:tcW w:type="dxa" w:w="1000"/>
            <w:vAlign w:val="center"/>
          </w:tcPr>
          <w:p>
            <w:pPr>
              <w:spacing w:line="240" w:lineRule="auto" w:before="60" w:after="60"/>
              <w:jc w:val="center"/>
            </w:pPr>
            <w:r>
              <w:rPr>
                <w:b w:val="0"/>
                <w:i w:val="0"/>
                <w:sz w:val="20"/>
              </w:rPr>
              <w:t>30</w:t>
            </w:r>
          </w:p>
        </w:tc>
        <w:tc>
          <w:tcPr>
            <w:tcW w:type="dxa" w:w="850"/>
            <w:vAlign w:val="center"/>
          </w:tcPr>
          <w:p>
            <w:pPr>
              <w:spacing w:line="240" w:lineRule="auto" w:before="60" w:after="60"/>
              <w:jc w:val="center"/>
            </w:pPr>
            <w:r>
              <w:rPr>
                <w:b w:val="0"/>
                <w:i w:val="0"/>
                <w:sz w:val="20"/>
              </w:rPr>
              <w:t>56,6</w:t>
            </w:r>
          </w:p>
        </w:tc>
        <w:tc>
          <w:tcPr>
            <w:tcW w:type="dxa" w:w="1000"/>
            <w:vAlign w:val="center"/>
          </w:tcPr>
          <w:p>
            <w:pPr>
              <w:spacing w:line="240" w:lineRule="auto" w:before="60" w:after="60"/>
              <w:jc w:val="center"/>
            </w:pPr>
            <w:r>
              <w:rPr>
                <w:b w:val="0"/>
                <w:i w:val="0"/>
                <w:sz w:val="20"/>
              </w:rPr>
              <w:t>30</w:t>
            </w:r>
          </w:p>
        </w:tc>
        <w:tc>
          <w:tcPr>
            <w:tcW w:type="dxa" w:w="850"/>
            <w:vAlign w:val="center"/>
          </w:tcPr>
          <w:p>
            <w:pPr>
              <w:spacing w:line="240" w:lineRule="auto" w:before="60" w:after="60"/>
              <w:jc w:val="center"/>
            </w:pPr>
            <w:r>
              <w:rPr>
                <w:b w:val="0"/>
                <w:i w:val="0"/>
                <w:sz w:val="20"/>
              </w:rPr>
              <w:t>57,7</w:t>
            </w:r>
          </w:p>
        </w:tc>
      </w:tr>
      <w:tr>
        <w:tc>
          <w:tcPr>
            <w:tcW w:type="dxa" w:w="4970"/>
            <w:vAlign w:val="center"/>
          </w:tcPr>
          <w:p>
            <w:pPr>
              <w:spacing w:line="240" w:lineRule="auto" w:before="60" w:after="60"/>
              <w:jc w:val="left"/>
            </w:pPr>
            <w:r>
              <w:rPr>
                <w:b w:val="0"/>
                <w:i w:val="0"/>
                <w:sz w:val="20"/>
              </w:rPr>
              <w:t>Vicios de motivación a) – g)</w:t>
            </w:r>
          </w:p>
        </w:tc>
        <w:tc>
          <w:tcPr>
            <w:tcW w:type="dxa" w:w="1000"/>
            <w:vAlign w:val="center"/>
          </w:tcPr>
          <w:p>
            <w:pPr>
              <w:spacing w:line="240" w:lineRule="auto" w:before="60" w:after="60"/>
              <w:jc w:val="center"/>
            </w:pPr>
            <w:r>
              <w:rPr>
                <w:b w:val="0"/>
                <w:i w:val="0"/>
                <w:sz w:val="20"/>
              </w:rPr>
              <w:t>35</w:t>
            </w:r>
          </w:p>
        </w:tc>
        <w:tc>
          <w:tcPr>
            <w:tcW w:type="dxa" w:w="850"/>
            <w:vAlign w:val="center"/>
          </w:tcPr>
          <w:p>
            <w:pPr>
              <w:spacing w:line="240" w:lineRule="auto" w:before="60" w:after="60"/>
              <w:jc w:val="center"/>
            </w:pPr>
            <w:r>
              <w:rPr>
                <w:b w:val="0"/>
                <w:i w:val="0"/>
                <w:sz w:val="20"/>
              </w:rPr>
              <w:t>66,0</w:t>
            </w:r>
          </w:p>
        </w:tc>
        <w:tc>
          <w:tcPr>
            <w:tcW w:type="dxa" w:w="1000"/>
            <w:vAlign w:val="center"/>
          </w:tcPr>
          <w:p>
            <w:pPr>
              <w:spacing w:line="240" w:lineRule="auto" w:before="60" w:after="60"/>
              <w:jc w:val="center"/>
            </w:pPr>
            <w:r>
              <w:rPr>
                <w:b w:val="0"/>
                <w:i w:val="0"/>
                <w:sz w:val="20"/>
              </w:rPr>
              <w:t>35</w:t>
            </w:r>
          </w:p>
        </w:tc>
        <w:tc>
          <w:tcPr>
            <w:tcW w:type="dxa" w:w="850"/>
            <w:vAlign w:val="center"/>
          </w:tcPr>
          <w:p>
            <w:pPr>
              <w:spacing w:line="240" w:lineRule="auto" w:before="60" w:after="60"/>
              <w:jc w:val="center"/>
            </w:pPr>
            <w:r>
              <w:rPr>
                <w:b w:val="0"/>
                <w:i w:val="0"/>
                <w:sz w:val="20"/>
              </w:rPr>
              <w:t>67,3</w:t>
            </w:r>
          </w:p>
        </w:tc>
      </w:tr>
      <w:tr>
        <w:tc>
          <w:tcPr>
            <w:tcW w:type="dxa" w:w="4970"/>
            <w:vAlign w:val="center"/>
          </w:tcPr>
          <w:p>
            <w:pPr>
              <w:spacing w:line="240" w:lineRule="auto" w:before="60" w:after="60"/>
              <w:jc w:val="left"/>
            </w:pPr>
            <w:r>
              <w:rPr>
                <w:b/>
                <w:i w:val="0"/>
                <w:sz w:val="20"/>
              </w:rPr>
              <w:t>Cualquier causal</w:t>
            </w:r>
          </w:p>
        </w:tc>
        <w:tc>
          <w:tcPr>
            <w:tcW w:type="dxa" w:w="1000"/>
            <w:vAlign w:val="center"/>
          </w:tcPr>
          <w:p>
            <w:pPr>
              <w:spacing w:line="240" w:lineRule="auto" w:before="60" w:after="60"/>
              <w:jc w:val="center"/>
            </w:pPr>
            <w:r>
              <w:rPr>
                <w:b/>
                <w:i w:val="0"/>
                <w:sz w:val="20"/>
              </w:rPr>
              <w:t>51</w:t>
            </w:r>
          </w:p>
        </w:tc>
        <w:tc>
          <w:tcPr>
            <w:tcW w:type="dxa" w:w="850"/>
            <w:vAlign w:val="center"/>
          </w:tcPr>
          <w:p>
            <w:pPr>
              <w:spacing w:line="240" w:lineRule="auto" w:before="60" w:after="60"/>
              <w:jc w:val="center"/>
            </w:pPr>
            <w:r>
              <w:rPr>
                <w:b/>
                <w:i w:val="0"/>
                <w:sz w:val="20"/>
              </w:rPr>
              <w:t>96,2</w:t>
            </w:r>
          </w:p>
        </w:tc>
        <w:tc>
          <w:tcPr>
            <w:tcW w:type="dxa" w:w="1000"/>
            <w:vAlign w:val="center"/>
          </w:tcPr>
          <w:p>
            <w:pPr>
              <w:spacing w:line="240" w:lineRule="auto" w:before="60" w:after="60"/>
              <w:jc w:val="center"/>
            </w:pPr>
            <w:r>
              <w:rPr>
                <w:b/>
                <w:i w:val="0"/>
                <w:sz w:val="20"/>
              </w:rPr>
              <w:t>51</w:t>
            </w:r>
          </w:p>
        </w:tc>
        <w:tc>
          <w:tcPr>
            <w:tcW w:type="dxa" w:w="850"/>
            <w:vAlign w:val="center"/>
          </w:tcPr>
          <w:p>
            <w:pPr>
              <w:spacing w:line="240" w:lineRule="auto" w:before="60" w:after="60"/>
              <w:jc w:val="center"/>
            </w:pPr>
            <w:r>
              <w:rPr>
                <w:b/>
                <w:i w:val="0"/>
                <w:sz w:val="20"/>
              </w:rPr>
              <w:t>98,1</w:t>
            </w:r>
          </w:p>
        </w:tc>
      </w:tr>
    </w:tbl>
    <w:p>
      <w:pPr>
        <w:spacing w:line="240" w:lineRule="auto" w:after="240" w:before="60"/>
        <w:jc w:val="both"/>
      </w:pPr>
      <w:r>
        <w:rPr>
          <w:i/>
          <w:sz w:val="20"/>
        </w:rPr>
        <w:t xml:space="preserve">Nota. </w:t>
      </w:r>
      <w:r>
        <w:rPr>
          <w:sz w:val="20"/>
        </w:rPr>
        <w:t>Sentencias de vista que declaran la NULIDAD (se excluyen las revocadas): 53 del período Tradicional (2018) y 52 del período Oralidad (2024). Se computan las causales con estatus DECLARADO por la Sala; los supuestos a) a g) corresponden a los códigos D14, D15, D21, D13 ∪ D11, D16 y D23. Los totales del bloque III cuentan resoluciones y no menciones. D05 y D17 registran cero en ambos períodos. Fuente: Corpus_unificado_CORREGIDO_SV_CSJA_2_TOTAL_3_FIN.xlsx, hoja Marcas_declaradas. Elaboración propia.</w:t>
      </w:r>
    </w:p>
    <w:p>
      <w:pPr>
        <w:spacing w:after="0" w:line="240" w:lineRule="auto"/>
        <w:jc w:val="both"/>
      </w:pPr>
      <w:r>
        <w:rPr>
          <w:b w:val="0"/>
          <w:i w:val="0"/>
          <w:sz w:val="20"/>
        </w:rPr>
        <w:t>ᵃ Una misma resolución puede tener varias causales, por eso los porcentajes suman más de 100 %.</w:t>
      </w:r>
    </w:p>
    <w:p>
      <w:pPr>
        <w:spacing w:after="0" w:line="240" w:lineRule="auto"/>
        <w:jc w:val="both"/>
      </w:pPr>
      <w:r>
        <w:rPr>
          <w:b w:val="0"/>
          <w:i w:val="0"/>
          <w:sz w:val="20"/>
        </w:rPr>
        <w:t>ᵇ D12 se superpone en parte con c): la anulación por valoración defectuosa equivale, en términos Llamoja, a una premisa fáctica no justificada (CAS. 00071-2006-Cajamarca). Fundida con c), la unión por expediente es 10 (18,9 %) y 15 (28,8 %).</w:t>
      </w:r>
    </w:p>
    <w:p>
      <w:pPr>
        <w:spacing w:after="0" w:line="240" w:lineRule="auto"/>
        <w:jc w:val="both"/>
      </w:pPr>
      <w:r>
        <w:rPr>
          <w:b w:val="0"/>
          <w:i w:val="0"/>
          <w:sz w:val="20"/>
        </w:rPr>
        <w:t>ᶜ d) es la unión por expediente de D13 (motivación insuficiente: 7 y 11) y D11 (omisión de valoración: 2 y 6).</w:t>
      </w:r>
    </w:p>
    <w:p>
      <w:pPr>
        <w:spacing w:after="0" w:line="240" w:lineRule="auto"/>
        <w:jc w:val="both"/>
      </w:pPr>
      <w:r>
        <w:rPr>
          <w:b w:val="0"/>
          <w:i w:val="0"/>
          <w:sz w:val="20"/>
        </w:rPr>
        <w:t>ᵈ El desglose por subtipo no está codificado en D16; se incluye la infra petita, que distingue la CAS. 01986-2003-Lima.</w:t>
      </w:r>
    </w:p>
    <w:p>
      <w:pPr>
        <w:spacing w:after="0" w:line="240" w:lineRule="auto"/>
        <w:jc w:val="both"/>
      </w:pPr>
      <w:r>
        <w:rPr>
          <w:b w:val="0"/>
          <w:i w:val="0"/>
          <w:sz w:val="20"/>
        </w:rPr>
        <w:t>ᵉ Sin código D equivalente; se usa como marcador de umbral reforzado y no se suma al total.</w:t>
      </w:r>
    </w:p>
    <w:p>
      <w:pPr>
        <w:spacing w:after="0" w:line="240" w:lineRule="auto"/>
        <w:jc w:val="both"/>
      </w:pPr>
      <w:r>
        <w:rPr>
          <w:b w:val="0"/>
          <w:i w:val="0"/>
          <w:sz w:val="20"/>
        </w:rPr>
        <w:t>ᶠ Sin equivalente en la tipología Llamoja; se mantiene hasta recodificar esas 19 resoluciones en a)–e).</w:t>
      </w:r>
    </w:p>
    <w:p>
      <w:pPr>
        <w:spacing w:after="120" w:line="360" w:lineRule="auto" w:before="240"/>
        <w:jc w:val="both"/>
      </w:pPr>
      <w:r>
        <w:rPr>
          <w:b w:val="0"/>
          <w:i w:val="0"/>
        </w:rPr>
        <w:t>La tabla que antecede muestra que la incongruencia procesal es la causal más frecuente en ambos períodos (32,1 % y 25,0 %), que la motivación insuficiente asciende del 15,1 % al 28,8 % y que la motivación aparente se mantiene estable (9,4 % y 9,6 %). En conjunto, los vicios de motivación a) a e) concurren en proporciones semejantes (56,6 % y 57,7 %), al igual que las resoluciones con al menos una causal declarada (96,2 % y 98,1 %).</w:t>
      </w:r>
    </w:p>
    <w:p>
      <w:pPr>
        <w:pStyle w:val="Heading2"/>
      </w:pPr>
      <w:r>
        <w:t>1.3. RESPECTO AL OBJETIVO GENERAL: LA EFECTIVIDAD DEL MODELO DE ORALIDAD CIVIL</w:t>
      </w:r>
    </w:p>
    <w:p>
      <w:pPr>
        <w:spacing w:after="120" w:line="360" w:lineRule="auto"/>
        <w:jc w:val="both"/>
      </w:pPr>
      <w:r>
        <w:rPr>
          <w:b w:val="0"/>
          <w:i w:val="0"/>
        </w:rPr>
        <w:t>Los resultados muestran diferencias favorables al grupo Oralidad en la concentración de actuaciones y en determinadas características de las decisiones sometidas a revisión. La efectividad observada es diferenciada y se circunscribe a los indicadores documentados; el diseño no permite atribuir exclusivamente al modelo estas diferencias ni afirmar una reducción general de la duración procesal.</w:t>
      </w:r>
    </w:p>
    <w:p>
      <w:pPr>
        <w:spacing w:after="120" w:line="360" w:lineRule="auto"/>
        <w:jc w:val="both"/>
      </w:pPr>
      <w:r>
        <w:rPr>
          <w:b w:val="0"/>
          <w:i w:val="0"/>
        </w:rPr>
        <w:t>En la dimensión de gestión procesal, el Modelo Oralidad favorece que el saneamiento procesal, la fijación de los puntos controvertidos y la admisión de los medios probatorios se desarrollen de manera concentrada en una audiencia preliminar o única. Asimismo, en determinados expedientes se recurrió al juzgamiento anticipado, evitando la realización de una audiencia probatoria adicional cuando la naturaleza de la controversia y los elementos incorporados al proceso permitían emitir una decisión sin actuaciones posteriores.</w:t>
      </w:r>
    </w:p>
    <w:p>
      <w:pPr>
        <w:spacing w:after="120" w:line="360" w:lineRule="auto"/>
        <w:jc w:val="both"/>
      </w:pPr>
      <w:r>
        <w:rPr>
          <w:b w:val="0"/>
          <w:i w:val="0"/>
        </w:rPr>
        <w:t>Este resultado se encuentra respaldado por la frecuencia de los principios de oralidad identificados en las fichas de análisis documental. Mientras que en el período tradicional solo dieciocho de ochenta y siete expedientes, equivalentes al 20,7 %, acreditaron concentración procesal, en el período de oralidad esta se verificó en cincuenta y siete de ochenta expedientes, equivalentes al 71,3 %. La diferencia de 50,6 puntos porcentuales demuestra que la concentración constituye el efecto operativo más intenso y consistente del modelo implementado en los Juzgados Civiles de Arequipa.</w:t>
      </w:r>
    </w:p>
    <w:p>
      <w:pPr>
        <w:spacing w:after="120" w:line="360" w:lineRule="auto"/>
        <w:jc w:val="both"/>
      </w:pPr>
      <w:r>
        <w:rPr>
          <w:b w:val="0"/>
          <w:i w:val="0"/>
        </w:rPr>
        <w:t>La fijación expresa de hechos no controvertidos pasó de ningún expediente tradicional (0,0 %) a trece del grupo Oralidad (16,3 %). Este incremento describe una mayor frecuencia de registro. La ausencia de mención no prueba por sí sola que existieran hechos admitidos que fueron omitidos ni permite medir íntegramente la calidad de la delimitación de la controversia.</w:t>
      </w:r>
    </w:p>
    <w:p>
      <w:pPr>
        <w:spacing w:after="120" w:line="360" w:lineRule="auto"/>
        <w:jc w:val="both"/>
      </w:pPr>
      <w:r>
        <w:rPr>
          <w:b w:val="0"/>
          <w:i w:val="0"/>
        </w:rPr>
        <w:t>Las convenciones probatorias no fueron identificadas en ningún expediente de ambos grupos; solo se registró una convención parcial en el grupo Oralidad. Su frecuencia debe interpretarse según las posibilidades de acuerdo y las particularidades de cada caso. Este registro se diferencia de la identificación de hechos admitidos, que no exige necesariamente una convención probatoria expresa.</w:t>
      </w:r>
    </w:p>
    <w:p>
      <w:pPr>
        <w:spacing w:after="120" w:line="360" w:lineRule="auto"/>
        <w:jc w:val="both"/>
      </w:pPr>
      <w:r>
        <w:rPr>
          <w:b w:val="0"/>
          <w:i w:val="0"/>
        </w:rPr>
        <w:t>En cuatro expedientes del grupo Oralidad (5,0 %) y en uno del grupo Tradicional (1,1 %) se registró sentencia expedida en audiencia; la lectura oral del sentido del fallo consta en dos expedientes del grupo Oralidad (2,5 %) y en uno del Tradicional (1,1 %). Son indicadores de modalidad de emisión y comunicación de la decisión. No acreditan por sí solos el contacto directo del juez con la prueba ni la identidad entre quien la actuó y quien resolvió.</w:t>
      </w:r>
    </w:p>
    <w:p>
      <w:pPr>
        <w:spacing w:after="120" w:line="360" w:lineRule="auto"/>
        <w:jc w:val="both"/>
      </w:pPr>
      <w:r>
        <w:rPr>
          <w:b w:val="0"/>
          <w:i w:val="0"/>
        </w:rPr>
        <w:t>Sin embargo, la implementación de la oralidad no eliminó completamente la fragmentación procesal. También se identificaron expedientes con suspensiones, continuaciones de audiencia, incidentes procesales y numerosas resoluciones previas a la sentencia. Por ello, la sola realización de audiencias no garantiza automáticamente la celeridad, dado que la efectividad del modelo depende igualmente de una adecuada planificación de la audiencia, de la concurrencia de las partes, de la disponibilidad de los medios de prueba y de la capacidad del juez para adoptar decisiones oportunas durante el desarrollo del proceso.</w:t>
      </w:r>
    </w:p>
    <w:p>
      <w:pPr>
        <w:spacing w:after="120" w:line="360" w:lineRule="auto"/>
        <w:jc w:val="both"/>
      </w:pPr>
      <w:r>
        <w:rPr>
          <w:b w:val="0"/>
          <w:i w:val="0"/>
        </w:rPr>
        <w:t>En consecuencia, los resultados no permiten afirmar de manera concluyente que el Modelo Oralidad haya reducido la duración total de los procesos examinados. La concentración de actuaciones, el juzgamiento anticipado y la emisión de algunas sentencias dentro de la audiencia constituyen indicios de una potencial reducción de tiempos.</w:t>
      </w:r>
    </w:p>
    <w:p>
      <w:r>
        <w:br w:type="page"/>
      </w:r>
    </w:p>
    <w:p>
      <w:pPr>
        <w:pStyle w:val="Heading1"/>
        <w:jc w:val="center"/>
      </w:pPr>
      <w:r>
        <w:t>CAPÍTULO VII</w:t>
      </w:r>
    </w:p>
    <w:p>
      <w:pPr>
        <w:pStyle w:val="Heading1"/>
        <w:jc w:val="center"/>
      </w:pPr>
      <w:r>
        <w:t>2. DISCUSIÓN</w:t>
      </w:r>
    </w:p>
    <w:p>
      <w:pPr>
        <w:spacing w:after="120" w:line="360" w:lineRule="auto"/>
        <w:jc w:val="both"/>
      </w:pPr>
      <w:r>
        <w:rPr>
          <w:b w:val="0"/>
          <w:i w:val="0"/>
        </w:rPr>
        <w:t>La discusión que se desarrolla a continuación no plantea un juicio global sobre la reforma judicial, sino la interpretación crítica de la evidencia empírica presentada en el Capítulo VI, contrastada con el marco teórico, con los antecedentes de investigación y con las fuentes doctrinales, normativas y jurisprudenciales identificadas en la etapa de triangulación de fuentes del proyecto. El orden de exposición sigue la misma lógica de los objetivos de investigación, para culminar con el aporte científico que de dicho contraste se deriva y con las conclusiones del trabajo, desarrolladas en el capítulo siguiente.</w:t>
      </w:r>
    </w:p>
    <w:p>
      <w:pPr>
        <w:pStyle w:val="Heading2"/>
      </w:pPr>
      <w:r>
        <w:t>2.1. Discusión respecto al primer objetivo específico</w:t>
      </w:r>
    </w:p>
    <w:p>
      <w:pPr>
        <w:spacing w:after="120" w:line="360" w:lineRule="auto"/>
        <w:jc w:val="both"/>
      </w:pPr>
      <w:r>
        <w:rPr>
          <w:b w:val="0"/>
          <w:i w:val="0"/>
        </w:rPr>
        <w:t>La concentración del saneamiento, la fijación de puntos controvertidos y la admisión de medios probatorios registra una diferencia de 50,6 puntos porcentuales entre los grupos Tradicional y Oralidad (20,7 % y 71,3 %). El resultado es compatible con la organización del MCCLO y con el principio de concentración, pero no identifica por sí solo el efecto causal de una norma administrativa. Debe distinguirse la existencia de audiencia y saneamiento de la acreditación del indicador compuesto de concentración.</w:t>
      </w:r>
    </w:p>
    <w:p>
      <w:pPr>
        <w:spacing w:after="120" w:line="360" w:lineRule="auto"/>
        <w:jc w:val="both"/>
      </w:pPr>
      <w:r>
        <w:rPr>
          <w:b w:val="0"/>
          <w:i w:val="0"/>
        </w:rPr>
        <w:t>Los indicadores de hechos no controvertidos, convenciones probatorias y emisión de sentencia en audiencia presentan frecuencias menores que la concentración. El 16,3 % y el 0,0 % documentados para los dos primeros indicadores en el grupo Oralidad describen prácticas registradas; no bastan para imputar falta de colaboración a los abogados ni descartar dificultades de diseño. La diferencia también puede responder a las características de la controversia y a la forma de documentar la audiencia.</w:t>
      </w:r>
    </w:p>
    <w:p>
      <w:pPr>
        <w:pStyle w:val="Heading3"/>
      </w:pPr>
      <w:r>
        <w:t>Concentración y delimitación del objeto de prueba</w:t>
      </w:r>
    </w:p>
    <w:p>
      <w:pPr>
        <w:spacing w:after="120" w:line="360" w:lineRule="auto"/>
        <w:jc w:val="both"/>
      </w:pPr>
      <w:r>
        <w:rPr>
          <w:b w:val="0"/>
          <w:i w:val="0"/>
        </w:rPr>
        <w:t>El principio de concentración desarrollado en el marco teórico permite interpretar la reunión de actuaciones como una reducción de su dispersión. La constatación de audiencia preliminar y saneamiento no equivale, sin embargo, a acreditar conjuntamente saneamiento, fijación de puntos y admisión probatoria. Esta distinción explica por qué el indicador compuesto puede registrar menos casos que la existencia de audiencias, sin implicar ausencia de saneamiento en los demás expedientes.</w:t>
      </w:r>
    </w:p>
    <w:p>
      <w:pPr>
        <w:spacing w:after="120" w:line="360" w:lineRule="auto"/>
        <w:jc w:val="both"/>
      </w:pPr>
      <w:r>
        <w:rPr>
          <w:b w:val="0"/>
          <w:i w:val="0"/>
        </w:rPr>
        <w:t>El artículo 190 del Código Procesal Civil distingue hechos que no requieren prueba y contempla condiciones y excepciones; el artículo 188 vincula la prueba con los hechos y puntos controvertidos. Estos parámetros permiten evaluar qué se delimitó efectivamente. Los hechos no controvertidos, los hechos notorios y los presumidos no son categorías intercambiables, y la ausencia de una convención expresa no impide examinar la admisión de hechos por las partes (Código Procesal Civil, arts. 188 y 190).</w:t>
      </w:r>
    </w:p>
    <w:p>
      <w:pPr>
        <w:spacing w:after="120" w:line="360" w:lineRule="auto"/>
        <w:jc w:val="both"/>
      </w:pPr>
      <w:r>
        <w:rPr>
          <w:b w:val="0"/>
          <w:i w:val="0"/>
        </w:rPr>
        <w:t>El X Pleno Casatorio Civil desarrolla, en sus apartados 2.7.1 y 2.7.2, la identificación precisa de hechos controvertidos y admitidos. Su razonamiento cuestiona la reproducción de pretensiones como sustituto de la delimitación fáctica. En consecuencia, el 16,3 % de fijación expresa identifica un registro reducido frente a ese parámetro de análisis; no permite calificar automáticamente de defectuosos todos los expedientes restantes. Debe comprobarse si existían hechos admitidos y cómo fueron tratados (Corte Suprema de Justicia de la República, 2020).</w:t>
      </w:r>
    </w:p>
    <w:p>
      <w:pPr>
        <w:spacing w:after="120" w:line="360" w:lineRule="auto"/>
        <w:jc w:val="both"/>
      </w:pPr>
      <w:r>
        <w:rPr>
          <w:b w:val="0"/>
          <w:i w:val="0"/>
        </w:rPr>
        <w:t>La tendencia del estado del arte sitúa la oralidad en la organización del debate y en la intervención judicial. Bustamante Zegarra y Angulo Osorio (2020) describen su desarrollo desde la práctica de los jueces; la mayor concentración observada es compatible con esa caracterización. Guerra-Cerrón (2022) analiza sus diversas funciones y el soporte de gestión: este enfoque permite explicar por qué la existencia de audiencia no agota la evaluación del modelo. El aporte empírico consiste en mostrar una diferencia entre la reunión de actos y la documentación de la delimitación de hechos, sin demostrar cuál de sus posibles causas predomina.</w:t>
      </w:r>
    </w:p>
    <w:p>
      <w:pPr>
        <w:pStyle w:val="Heading2"/>
      </w:pPr>
      <w:r>
        <w:t>2.2. Discusión respecto al segundo objetivo específico</w:t>
      </w:r>
    </w:p>
    <w:p>
      <w:pPr>
        <w:spacing w:after="120" w:line="360" w:lineRule="auto"/>
        <w:jc w:val="both"/>
      </w:pPr>
      <w:r>
        <w:rPr>
          <w:b w:val="0"/>
          <w:i w:val="0"/>
        </w:rPr>
        <w:t>En las series de sentencias de segunda instancia de 2018 (281) y 2024 (328), la confirmación representa el 65,5 % y el 72,6 %; la anulación, el 21,7 % y el 20,1 %; y la revocación, el 12,8 % y el 7,3 %. Estas diferencias describen las series anuales. En las sentencias anuladas del corpus (53 y 52), los defectos presentan frecuencias distintas, pero la variación de varias categorías no demuestra por sí sola un desplazamiento hacia vicios de menor gravedad: su relevancia y consecuencia deben examinarse en los fundamentos de cada resolución.</w:t>
      </w:r>
    </w:p>
    <w:p>
      <w:pPr>
        <w:spacing w:after="120" w:line="360" w:lineRule="auto"/>
        <w:jc w:val="both"/>
      </w:pPr>
      <w:r>
        <w:rPr>
          <w:b w:val="0"/>
          <w:i w:val="0"/>
        </w:rPr>
        <w:t>Un hallazgo que merece interpretación crítica específica es la baja frecuencia de la motivación aparente o inexistente: fue declarada en diez de las ciento cinco sentencias anuladas, cinco en cada período (9,4 % y 9,6 %). Este dato no refuta, sino que precisa, la distinción de Taruffo (2011) entre justificación interna —la coherencia lógica del razonamiento— y justificación externa —el sustento de las premisas fácticas y jurídicas empleadas—: lo que las Salas Civiles de Arequipa censuran no es principalmente la falta de justificación, sino su debilidad externa, esto es, que el juez justifique sobre premisas fácticas incompletas. Ello es coherente con que las causales más frecuentes del período Tradicional —la incongruencia procesal (32,1 %) y la valoración probatoria defectuosa (15,1 %)— sean defectos referidos a las premisas y al objeto del debate, y no a la estructura argumentativa de la sentencia.</w:t>
      </w:r>
    </w:p>
    <w:p>
      <w:pPr>
        <w:spacing w:after="120" w:line="360" w:lineRule="auto"/>
        <w:jc w:val="both"/>
      </w:pPr>
      <w:r>
        <w:rPr>
          <w:b w:val="0"/>
          <w:i w:val="0"/>
        </w:rPr>
        <w:t>La tipología del caso Llamoja permite organizar el examen de las razones de la decisión. Su aplicación documental debe distinguir una categoría no identificada de una ausencia demostrada del defecto. La valoración racional de la prueba recogida en CRITERIOS aporta una base para interpretar los hallazgos, sin equiparar inmediación, corrección probatoria y suficiencia de la motivación.</w:t>
      </w:r>
    </w:p>
    <w:p>
      <w:pPr>
        <w:pStyle w:val="Heading3"/>
      </w:pPr>
      <w:r>
        <w:t>Motivación y consecuencias del control superior</w:t>
      </w:r>
    </w:p>
    <w:p>
      <w:pPr>
        <w:spacing w:after="120" w:line="360" w:lineRule="auto"/>
        <w:jc w:val="both"/>
      </w:pPr>
      <w:r>
        <w:rPr>
          <w:b w:val="0"/>
          <w:i w:val="0"/>
        </w:rPr>
        <w:t>El fundamento 7 de la STC 00728-2008-PHC/TC distingue, entre otros supuestos, motivación aparente, problemas de justificación interna, deficiencias de justificación externa, insuficiencia e incongruencia. Estas categorías orientan la lectura de las razones de la sentencia civil, pero no constituyen un catálogo de todos los vicios procesales. La falta de actuación de una prueba debe diferenciarse de su falta de valoración, y la discrepancia con una inferencia no equivale automáticamente a motivación aparente (Tribunal Constitucional, 2008).</w:t>
      </w:r>
    </w:p>
    <w:p>
      <w:pPr>
        <w:spacing w:after="120" w:line="360" w:lineRule="auto"/>
        <w:jc w:val="both"/>
      </w:pPr>
      <w:r>
        <w:rPr>
          <w:b w:val="0"/>
          <w:i w:val="0"/>
        </w:rPr>
        <w:t>El X Pleno Casatorio Civil resulta pertinente para la prueba de oficio y el contradictorio. Su contraste con los casos registrados exige establecer qué medio se incorporó, qué oportunidad tuvieron las partes de cuestionarlo y cuál fue su influencia en la resolución superior. Las categorías «prueba de oficio irregular» y «falta de contradictorio de la prueba» miden garantías del procedimiento probatorio; no deben utilizarse como sustituto directo de la inmediación (Corte Suprema de Justicia de la República, 2020).</w:t>
      </w:r>
    </w:p>
    <w:p>
      <w:pPr>
        <w:spacing w:after="120" w:line="360" w:lineRule="auto"/>
        <w:jc w:val="both"/>
      </w:pPr>
      <w:r>
        <w:rPr>
          <w:b w:val="0"/>
          <w:i w:val="0"/>
        </w:rPr>
        <w:t>La confirmación expresa la subsistencia de la decisión frente al recurso examinado, mientras que la revocación y la anulación tienen consecuencias distintas. Para caracterizar la calidad se debe relacionar el agravio con la respuesta de la Sala y el motivo que sustenta el fallo. Las causales concurrentes pueden superar el total de expedientes si se admite codificación múltiple; las frecuencias de la tabla deben leerse con esa regla y con el denominador declarado, sin presumir que cada defecto produjo por sí solo la nulidad.</w:t>
      </w:r>
    </w:p>
    <w:p>
      <w:pPr>
        <w:spacing w:after="120" w:line="360" w:lineRule="auto"/>
        <w:jc w:val="both"/>
      </w:pPr>
      <w:r>
        <w:rPr>
          <w:b w:val="0"/>
          <w:i w:val="0"/>
        </w:rPr>
        <w:t>Groppo (2024) aborda la sentencia oral como problema de compatibilidad con las garantías procesales. Los registros locales permiten describir cuántas decisiones se emitieron en audiencia, pero no medir su calidad solo por esa modalidad. La teoría de la valoración racional exige examinar las razones que enlazan prueba y conclusión; por ello, la oralización del fallo y la motivación constituyen dimensiones relacionadas que requieren comprobaciones diferentes.</w:t>
      </w:r>
    </w:p>
    <w:p>
      <w:pPr>
        <w:pStyle w:val="Heading2"/>
      </w:pPr>
      <w:r>
        <w:t>2.3. CONTRASTE DE LOS HALLAZGOS CON EL MARCO TEÓRICO</w:t>
      </w:r>
    </w:p>
    <w:p>
      <w:pPr>
        <w:spacing w:after="120" w:line="360" w:lineRule="auto"/>
        <w:jc w:val="both"/>
      </w:pPr>
      <w:r>
        <w:rPr>
          <w:b w:val="0"/>
          <w:i w:val="0"/>
        </w:rPr>
        <w:t>Los resultados se interpretan mediante las categorías de concentración, inmediación y justificación de la decisión, atendiendo a los límites de observación de cada indicador.</w:t>
      </w:r>
    </w:p>
    <w:p>
      <w:pPr>
        <w:spacing w:after="120" w:line="360" w:lineRule="auto"/>
        <w:jc w:val="both"/>
      </w:pPr>
      <w:r>
        <w:rPr>
          <w:b w:val="0"/>
          <w:i w:val="0"/>
        </w:rPr>
        <w:t>Frente a Taruffo, la evidencia corrobora que la motivación es la justificación racional y controlable de la decisión, y que el defecto prevalente no es la ausencia de justificación sino la debilidad de la justificación externa. El análisis realizado permite afinar la tesis de Taruffo con un dato empírico: la motivación aparente o inexistente, que la doctrina suele situar en el centro del debate, solo se registra en diez de las ciento cinco sentencias anuladas (9,4 % y 9,6 %). Lo que la Sala censura no es, en lo principal, que el juez no justifique, sino que justifique sobre premisas fácticas incompletas, tal como lo demuestra que las causales más frecuentes del modelo Tradicional hayan sido la incongruencia procesal (32,1 %) y la valoración probatoria defectuosa (15,1 %), defectos referidos a las premisas y al objeto del debate y no a la estructura justificativa.</w:t>
      </w:r>
    </w:p>
    <w:p>
      <w:pPr>
        <w:spacing w:after="120" w:line="360" w:lineRule="auto"/>
        <w:jc w:val="both"/>
      </w:pPr>
      <w:r>
        <w:rPr>
          <w:b w:val="0"/>
          <w:i w:val="0"/>
        </w:rPr>
        <w:t>Para Taruffo, la motivación está completa cuando ofrece justificación adecuada de cada uno de los momentos en que se articula la decisión —interpretación de las normas aplicadas, verificación de los hechos, calificación jurídica del supuesto de hecho y declaración de las consecuencias jurídicas—, de modo que la decisión misma opera como parámetro de la motivación: hay motivación omitida cuando alguna de esas afirmaciones carece de fundamento racional expreso, e insuficiencia cuando faltan las premisas o el criterio de elección que permite considerar la decisión consecuencia válida de aquellas.</w:t>
      </w:r>
    </w:p>
    <w:p>
      <w:pPr>
        <w:spacing w:after="120" w:line="360" w:lineRule="auto"/>
        <w:jc w:val="both"/>
      </w:pPr>
      <w:r>
        <w:rPr>
          <w:b w:val="0"/>
          <w:i w:val="0"/>
        </w:rPr>
        <w:t>Frente a la tipología del caso Llamoja (STC 00728-2008-PHC/TC), el instrumento demostró capacidad discriminante: distinguió motivación aparente, interna, externa, insuficiente e incongruente en ambos corpus, y fue esa discriminación la que hizo visible el desplazamiento del vicio entre períodos, de la incongruencia (32,1 % y 25,0 %) hacia la motivación insuficiente (15,1 % y 28,8 %).</w:t>
      </w:r>
    </w:p>
    <w:p>
      <w:pPr>
        <w:spacing w:after="120" w:line="360" w:lineRule="auto"/>
        <w:jc w:val="both"/>
      </w:pPr>
      <w:r>
        <w:rPr>
          <w:b w:val="0"/>
          <w:i w:val="0"/>
        </w:rPr>
        <w:t>La inmediación permite examinar el contacto del juez con la producción de la prueba. La frecuencia de prueba de oficio irregular y de falta de contradictorio de la prueba es igual y marginal en ambos grupos (1,9 %), por lo que no permite inferir una mejor organización probatoria ni identifica por sí sola la presencia o ausencia de inmediación. Para ello se requiere información sobre la dirección de la audiencia, la actuación de la prueba y el juez que emitió la sentencia.</w:t>
      </w:r>
    </w:p>
    <w:p>
      <w:pPr>
        <w:pStyle w:val="Heading2"/>
      </w:pPr>
      <w:r>
        <w:t>2.4. CONTRASTE CON LOS ANTECEDENTES DE INVESTIGACIÓN</w:t>
      </w:r>
    </w:p>
    <w:p>
      <w:pPr>
        <w:spacing w:after="120" w:line="360" w:lineRule="auto"/>
        <w:jc w:val="both"/>
      </w:pPr>
      <w:r>
        <w:rPr>
          <w:b w:val="0"/>
          <w:i w:val="0"/>
        </w:rPr>
        <w:t>Bustamante y Angulo (2020) sostienen que la oralidad civil peruana no proviene de una reforma legislativa del Código Procesal Civil, sino de una práctica judicial autogenerada e institucionalizada por vía administrativa, cuyo eje operativo es la audiencia preliminar concentrada como sustituto funcional del trámite escritural fragmentado. Los resultados obtenidos confirman esa caracterización y la documentan empíricamente: el patrón dominante con el modelo Tradicional —sesenta y uno (61) de ochenta y siete (87) expedientes, cuarenta y tres con concentración solo parcial y dieciocho sin concentración— es precisamente la dispersión del saneamiento en resoluciones sucesivas y separadas, y bajo el Modelo Oralidad la audiencia única concentra los tres actos en el 71,3 % de los casos. El hallazgo obliga a distinguir entre vigencia normativa y eficacia operativa del principio de concentración, y sugiere que la variable crítica no es la norma sino el protocolo de audiencia y su supervisión.</w:t>
      </w:r>
    </w:p>
    <w:p>
      <w:pPr>
        <w:spacing w:after="120" w:line="360" w:lineRule="auto"/>
        <w:jc w:val="both"/>
      </w:pPr>
      <w:r>
        <w:rPr>
          <w:b w:val="0"/>
          <w:i w:val="0"/>
        </w:rPr>
        <w:t>Ríos (2013), citado en la literatura sobre oralidad civil, distingue la celebración de audiencias de la transformación efectiva de la práctica procesal. La limitada emisión de decisiones en audiencia puede contrastarse con ese problema. La coincidencia temática no permite descartar causas locales ni demostrar la persistencia de un mismo mecanismo causal entre países y períodos.</w:t>
      </w:r>
    </w:p>
    <w:p>
      <w:pPr>
        <w:spacing w:after="120" w:line="360" w:lineRule="auto"/>
        <w:jc w:val="both"/>
      </w:pPr>
      <w:r>
        <w:rPr>
          <w:b w:val="0"/>
          <w:i w:val="0"/>
        </w:rPr>
        <w:t>El contraste con estudios locales sobre saneamiento probatorio exige identificar autor, título, fuente y características de la muestra. La mención de un estudio de Arequipa de 2023 sin referencia completa no permite utilizar sus porcentajes como evidencia comparativa verificable.</w:t>
      </w:r>
    </w:p>
    <w:p>
      <w:pPr>
        <w:spacing w:after="120" w:line="360" w:lineRule="auto"/>
        <w:jc w:val="both"/>
      </w:pPr>
      <w:r>
        <w:rPr>
          <w:b w:val="0"/>
          <w:i w:val="0"/>
        </w:rPr>
        <w:t>La baja frecuencia de hechos no controvertidos y convenciones probatorias admite diversas explicaciones. La colaboración de las partes constituye una posibilidad interpretativa, pero debe contrastarse con la materia, las posiciones procesales y el registro de la audiencia antes de formular una conclusión sobre su conducta.</w:t>
      </w:r>
    </w:p>
    <w:p>
      <w:pPr>
        <w:spacing w:after="120" w:line="360" w:lineRule="auto"/>
        <w:jc w:val="both"/>
      </w:pPr>
      <w:r>
        <w:rPr>
          <w:b w:val="0"/>
          <w:i w:val="0"/>
        </w:rPr>
        <w:t>Amigó (2024), recogido en CRITERIOS, plantea adecuar el trámite de apelación a la oralidad. La proximidad entre las medias documentadas de segunda instancia (318,6 y 313,3 días) permite situar los resultados en ese debate. Sin embargo, el contraste entre ordenamientos es contextual y no acredita una causa común de demora ni una equivalencia entre procesos civiles y acciones de protección.</w:t>
      </w:r>
    </w:p>
    <w:p>
      <w:pPr>
        <w:spacing w:after="120" w:line="360" w:lineRule="auto"/>
        <w:jc w:val="both"/>
      </w:pPr>
      <w:r>
        <w:rPr>
          <w:b w:val="0"/>
          <w:i w:val="0"/>
        </w:rPr>
        <w:t>La comparación con Taruffo (2006) permite analizar los resultados desde una perspectiva más amplia. Este autor distingue entre la justificación interna, referida a la coherencia lógica del razonamiento judicial, y la justificación externa, relacionada con el sustento de las premisas fácticas y jurídicas utilizadas en la sentencia. En la presente investigación, dicha distinción fue contrastada empíricamente mediante la tipología de defectos de motivación desarrollada en el caso Llamoja (STC 00728-2008-PHC/TC). Los resultados muestran un hallazgo relevante: en las ciento cinco (105) sentencias anuladas, la motivación aparente o inexistente fue declarada solo en diez casos (9,4 % y 9,6 %). Este resultado precisa y complementa la propuesta teórica de Taruffo, pues demuestra que, en los expedientes analizados, las deficiencias de motivación no se presentaron predominantemente como una ausencia total o meramente formal de razones.</w:t>
      </w:r>
    </w:p>
    <w:p>
      <w:pPr>
        <w:spacing w:after="120" w:line="360" w:lineRule="auto"/>
        <w:jc w:val="both"/>
      </w:pPr>
      <w:r>
        <w:rPr>
          <w:b w:val="0"/>
          <w:i w:val="0"/>
        </w:rPr>
        <w:t>Groppo (2024) analiza la sentencia oral desde las garantías procesales argentinas y españolas. Los cinco expedientes con sentencia expedida en audiencia —cuatro del grupo Oralidad y uno del Tradicional— permiten examinar esa modalidad en el contexto local, pero no demostrar su superioridad. Ninguno de ellos fue anulado por defecto de motivación: de los dos anulados, uno lo fue por nulidad concatenada y el otro por una causal ajena a la motivación; aun así, la afirmación requiere su seguimiento impugnatorio individual.</w:t>
      </w:r>
    </w:p>
    <w:p>
      <w:pPr>
        <w:pStyle w:val="Heading2"/>
      </w:pPr>
      <w:r>
        <w:t>2.5. CONTRASTE DOCTRINAL, NORMATIVO Y JURISPRUDENCIAL</w:t>
      </w:r>
    </w:p>
    <w:p>
      <w:pPr>
        <w:spacing w:after="120" w:line="360" w:lineRule="auto"/>
        <w:jc w:val="both"/>
      </w:pPr>
      <w:r>
        <w:rPr>
          <w:b w:val="0"/>
          <w:i w:val="0"/>
        </w:rPr>
        <w:t>La normativa procesal y las disposiciones administrativas cumplen funciones distintas: la primera regula garantías y actuaciones; las segundas organizan el funcionamiento del módulo. La ausencia de cita expresa de las resoluciones administrativas en una sentencia no acredita, por sí misma, incumplimiento del modelo ni falta de control impugnatorio.</w:t>
      </w:r>
    </w:p>
    <w:p>
      <w:pPr>
        <w:spacing w:after="120" w:line="360" w:lineRule="auto"/>
        <w:jc w:val="both"/>
      </w:pPr>
      <w:r>
        <w:rPr>
          <w:b w:val="0"/>
          <w:i w:val="0"/>
        </w:rPr>
        <w:t>El origen administrativo del modelo, abordado por Bustamante y Angulo (2020) y Guerra-Cerrón (2022), ofrece un contexto para interpretar su implementación. La necesidad de una reforma legislativa exige identificar una insuficiencia normativa concreta. La frecuencia reducida de un registro no permite concluir que deba incorporarse una nueva disposición al Código Procesal Civil.</w:t>
      </w:r>
    </w:p>
    <w:p>
      <w:pPr>
        <w:spacing w:after="120" w:line="360" w:lineRule="auto"/>
        <w:jc w:val="both"/>
      </w:pPr>
      <w:r>
        <w:rPr>
          <w:b w:val="0"/>
          <w:i w:val="0"/>
        </w:rPr>
        <w:t>Los defectos de emplazamiento y de relación procesal deben examinarse mediante su incidencia concreta en la defensa y en la validez del procedimiento. Su presencia —en el 37,7 % y el 32,7 % de las sentencias anuladas— no permite clasificarlos automáticamente como externos al modelo ni atribuir a este la eliminación de otros defectos.</w:t>
      </w:r>
    </w:p>
    <w:p>
      <w:pPr>
        <w:spacing w:after="120" w:line="360" w:lineRule="auto"/>
        <w:jc w:val="both"/>
      </w:pPr>
      <w:r>
        <w:rPr>
          <w:b w:val="0"/>
          <w:i w:val="0"/>
        </w:rPr>
        <w:t>La proximidad entre las duraciones medias del control superior muestra una diferencia descriptiva reducida en ese tramo. No permite concluir que la alzada carezca de cambios en su método de trabajo ni identificarla como principal origen de la demora sin desagregar los tiempos del proceso.</w:t>
      </w:r>
    </w:p>
    <w:p>
      <w:pPr>
        <w:spacing w:after="120" w:line="360" w:lineRule="auto"/>
        <w:jc w:val="both"/>
      </w:pPr>
      <w:r>
        <w:rPr>
          <w:b w:val="0"/>
          <w:i w:val="0"/>
        </w:rPr>
        <w:t>La STC 03509-2009-PHC/TC aporta criterios para valorar la complejidad del asunto, la actuación judicial y la conducta procesal del interesado. Una menor reiteración de anulaciones podría reducir recorridos procesales, pero el ahorro temporal debe medirse; no se deduce automáticamente de comparar frecuencias de nulidad.</w:t>
      </w:r>
    </w:p>
    <w:p>
      <w:pPr>
        <w:pStyle w:val="Heading3"/>
      </w:pPr>
      <w:r>
        <w:t>Alcance normativo y de la jurisprudencia complementaria</w:t>
      </w:r>
    </w:p>
    <w:p>
      <w:pPr>
        <w:spacing w:after="120" w:line="360" w:lineRule="auto"/>
        <w:jc w:val="both"/>
      </w:pPr>
      <w:r>
        <w:rPr>
          <w:b w:val="0"/>
          <w:i w:val="0"/>
        </w:rPr>
        <w:t>La normativa se utiliza como parámetro de la actuación procesal del período estudiado. El artículo V del Título Preliminar del Código Procesal Civil permite contrastar concentración e inmediación; los artículos 188 y 197 orientan la relación entre prueba, controversia y valoración. Su función en la discusión consiste en interpretar las actuaciones documentadas, sin transformar la frecuencia observada en una presunción de cumplimiento integral (Código Procesal Civil, título preliminar, art. V, y arts. 188 y 197).</w:t>
      </w:r>
    </w:p>
    <w:p>
      <w:pPr>
        <w:spacing w:after="120" w:line="360" w:lineRule="auto"/>
        <w:jc w:val="both"/>
      </w:pPr>
      <w:r>
        <w:rPr>
          <w:b w:val="0"/>
          <w:i w:val="0"/>
        </w:rPr>
        <w:t>La STC 03509-2009-PHC/TC, fundamento 20, examina el plazo razonable mediante la complejidad del asunto, la actividad del interesado y la conducta de las autoridades judiciales. Aunque procede de un proceso penal, esos criterios ofrecen una referencia interpretativa que debe adaptarse al objeto civil estudiado. La diferencia de 5,3 días entre medias no permite declarar vulneración ni cumplimiento del plazo razonable: se requiere la cronología y las circunstancias de cada caso (Tribunal Constitucional, 2009).</w:t>
      </w:r>
    </w:p>
    <w:p>
      <w:pPr>
        <w:spacing w:after="120" w:line="360" w:lineRule="auto"/>
        <w:jc w:val="both"/>
      </w:pPr>
      <w:r>
        <w:rPr>
          <w:b w:val="0"/>
          <w:i w:val="0"/>
        </w:rPr>
        <w:t>Los demás pronunciamientos recogidos en CRITERIOS, incluidos el IV y el IX Pleno Casatorio, solo deben operar como contraste específico cuando la materia, el supuesto y la regla sean pertinentes al expediente. La mera mención de un pleno no demuestra su aplicación correcta, del mismo modo que la falta de cita nominal no acredita su inobservancia. Las referencias a la STC 00812-2022-PA/TC y a la Casación 4088-2019-Arequipa requieren corroborar texto, fundamento y pertinencia antes de atribuirles una regla sobre el MCCLO.</w:t>
      </w:r>
    </w:p>
    <w:p>
      <w:pPr>
        <w:spacing w:after="120" w:line="360" w:lineRule="auto"/>
        <w:jc w:val="both"/>
      </w:pPr>
      <w:r>
        <w:rPr>
          <w:b w:val="0"/>
          <w:i w:val="0"/>
        </w:rPr>
        <w:t>La identificación poco frecuente de hechos no controvertidos sustenta una propuesta de mejorar el registro y la conducción de la audiencia. No demuestra un vacío legislativo. La distinción es relevante para el aporte jurídico: cualquier propuesta de reforma debe partir de una insuficiencia normativa comprobada y separarse de las dificultades de aplicación o documentación.</w:t>
      </w:r>
    </w:p>
    <w:p>
      <w:pPr>
        <w:pStyle w:val="Heading2"/>
      </w:pPr>
      <w:r>
        <w:t>2.6. INTERPRETACIÓN JURÍDICA INTEGRADA</w:t>
      </w:r>
    </w:p>
    <w:p>
      <w:pPr>
        <w:spacing w:after="120" w:line="360" w:lineRule="auto"/>
        <w:jc w:val="both"/>
      </w:pPr>
      <w:r>
        <w:rPr>
          <w:b w:val="0"/>
          <w:i w:val="0"/>
        </w:rPr>
        <w:t>En el grupo Tradicional se observa menor concentración y mayor frecuencia de determinados defectos en los expedientes revisados, como la incongruencia procesal y los vicios de relación procesal. La concordancia entre prueba admitida, actuada y valorada requiere lectura individual de las resoluciones. Estos datos no permiten presumir que el juez sentenciador estuvo ausente de toda actuación probatoria.</w:t>
      </w:r>
    </w:p>
    <w:p>
      <w:pPr>
        <w:spacing w:after="120" w:line="360" w:lineRule="auto"/>
        <w:jc w:val="both"/>
      </w:pPr>
      <w:r>
        <w:rPr>
          <w:b w:val="0"/>
          <w:i w:val="0"/>
        </w:rPr>
        <w:t>En el grupo Oralidad se observa mayor concentración y una mayor proporción de confirmaciones en la serie anual (72,6 % frente a 65,5 %). Persisten omisiones valorativas (11,5 % de las sentencias anuladas) y otros defectos, cuya consecuencia depende del caso. No toda omisión probatoria es corregible directamente en alzada ni toda revocación expresa una deficiencia menor.</w:t>
      </w:r>
    </w:p>
    <w:p>
      <w:pPr>
        <w:spacing w:after="120" w:line="360" w:lineRule="auto"/>
        <w:jc w:val="both"/>
      </w:pPr>
      <w:r>
        <w:rPr>
          <w:b w:val="0"/>
          <w:i w:val="0"/>
        </w:rPr>
        <w:t>La interpretación conjunta identifica diferencias en la organización procesal y en el control de las sentencias. Su alcance se limita a las unidades estudiadas y no demuestra una transformación causal general de los vicios procesales en errores argumentativos.</w:t>
      </w:r>
    </w:p>
    <w:p>
      <w:pPr>
        <w:spacing w:after="120" w:line="360" w:lineRule="auto"/>
        <w:jc w:val="both"/>
      </w:pPr>
      <w:r>
        <w:rPr>
          <w:b w:val="0"/>
          <w:i w:val="0"/>
        </w:rPr>
        <w:t>La trazabilidad probatoria permite seguir la secuencia de admisión, actuación y valoración de cada medio relevante. La concentración facilita su observación, pero no garantiza esa correspondencia. Los porcentajes atribuidos a un antecedente local sin referencia completa no se utilizan para demostrar este vínculo.</w:t>
      </w:r>
    </w:p>
    <w:p>
      <w:pPr>
        <w:spacing w:after="120" w:line="360" w:lineRule="auto"/>
        <w:jc w:val="both"/>
      </w:pPr>
      <w:r>
        <w:rPr>
          <w:b w:val="0"/>
          <w:i w:val="0"/>
        </w:rPr>
        <w:t>La exigencia de trazabilidad probatoria cuenta con respaldo doctrinal expreso en Taruffo, quien vincula la garantía de defensa con el derecho a la prueba y deriva de este el derecho de las partes a conocer, mediante la motivación, las razones específicas de la exclusión o de la limitación de los medios probatorios ofrecidos. Advierte el autor que tal justificación no puede considerarse implícita y que, sin ella, la garantía probatoria queda reducida a un enunciado meramente formal, pues el juez podría vaciarla mediante el rechazo inmotivado de las instancias instructoras de una de las partes. Trasladada al acta de audiencia preliminar del Modelo Oralidad, la exigencia se traduce en la identificación individualizada de cada medio de prueba admitido o rechazado y en la expresión de la razón del rechazo, que es la condición de posibilidad del control ulterior de la concordancia entre lo saneado y lo valorado.</w:t>
      </w:r>
    </w:p>
    <w:p>
      <w:pPr>
        <w:spacing w:after="120" w:line="360" w:lineRule="auto"/>
        <w:jc w:val="both"/>
      </w:pPr>
      <w:r>
        <w:rPr>
          <w:b w:val="0"/>
          <w:i w:val="0"/>
        </w:rPr>
        <w:t>La sentencia en audiencia aparece en cinco expedientes y la lectura del sentido del fallo en tres. La frecuencia muestra una aplicación limitada de la modalidad. Para establecer si diferir la sentencia consume el tiempo eventualmente ahorrado en audiencia deben medirse los intervalos correspondientes; la información agregada no demuestra ese efecto.</w:t>
      </w:r>
    </w:p>
    <w:p>
      <w:pPr>
        <w:pStyle w:val="Heading2"/>
      </w:pPr>
      <w:r>
        <w:t>2.7. COMPROBACIÓN DE LA HIPÓTESIS CUALITATIVA</w:t>
      </w:r>
    </w:p>
    <w:p>
      <w:pPr>
        <w:spacing w:after="120" w:line="360" w:lineRule="auto"/>
        <w:jc w:val="both"/>
      </w:pPr>
      <w:r>
        <w:rPr>
          <w:b w:val="0"/>
          <w:i w:val="0"/>
        </w:rPr>
        <w:t>La hipótesis se examina mediante la coherencia entre los hallazgos documentales, las categorías teóricas y los criterios jurídicos. Los porcentajes tienen alcance descriptivo y no constituyen un contraste estadístico de significancia. El respaldo se valora por dimensión, sin convertir una asociación entre grupos en prueba causal.</w:t>
      </w:r>
    </w:p>
    <w:p>
      <w:pPr>
        <w:spacing w:after="120" w:line="360" w:lineRule="auto"/>
        <w:jc w:val="both"/>
      </w:pPr>
      <w:r>
        <w:rPr>
          <w:b w:val="0"/>
          <w:i w:val="0"/>
        </w:rPr>
        <w:t>El resultado del control superior constituye una dimensión de estabilidad decisoria y se complementa con el examen de la motivación y de los defectos procesales.</w:t>
      </w:r>
    </w:p>
    <w:p>
      <w:pPr>
        <w:spacing w:after="120" w:line="360" w:lineRule="auto"/>
        <w:jc w:val="both"/>
      </w:pPr>
      <w:r>
        <w:rPr>
          <w:b w:val="0"/>
          <w:i w:val="0"/>
        </w:rPr>
        <w:t>La estabilidad decisoria se mide sobre las series anuales de 281 sentencias de 2018 y 328 de 2024, que incluyen confirmaciones, revocaciones y anulaciones. El análisis de causales se circunscribe a las 53 y 52 sentencias anuladas del corpus; ese análisis responde a otra pregunta y no sustituye los porcentajes de las series. La comparabilidad de los grupos requiere justificar su selección y la disponibilidad documental.</w:t>
      </w:r>
    </w:p>
    <w:p>
      <w:pPr>
        <w:spacing w:after="120" w:line="360" w:lineRule="auto"/>
        <w:jc w:val="both"/>
      </w:pPr>
      <w:r>
        <w:rPr>
          <w:b w:val="0"/>
          <w:i w:val="0"/>
        </w:rPr>
        <w:t>La motivación sustancialmente incongruente es menos frecuente en el grupo Oralidad (32,1 % frente a 25,0 %), mientras que la motivación insuficiente (15,1 % y 28,8 %) y la omisión de valoración (3,8 % y 11,5 %) son más frecuentes. La baja frecuencia de motivación aparente o inexistente (9,4 % y 9,6 %) se circunscribe a la codificación realizada y no demuestra su comportamiento en todo el distrito judicial. Los hallazgos son compatibles con diferencias en la justificación de las premisas, sin probar que el modelo haya corregido causalmente cada defecto.</w:t>
      </w:r>
    </w:p>
    <w:p>
      <w:pPr>
        <w:spacing w:after="120" w:line="360" w:lineRule="auto"/>
        <w:jc w:val="both"/>
      </w:pPr>
      <w:r>
        <w:rPr>
          <w:b w:val="0"/>
          <w:i w:val="0"/>
        </w:rPr>
        <w:t>La hipótesis recibe apoyo descriptivo parcial en la concentración y en la estabilidad de las decisiones —la confirmación asciende del 65,5 % al 72,6 % y la revocación desciende del 12,8 % al 7,3 %—, sujeto a las limitaciones de selección y comparabilidad.</w:t>
      </w:r>
    </w:p>
    <w:p>
      <w:pPr>
        <w:spacing w:after="120" w:line="360" w:lineRule="auto"/>
        <w:jc w:val="both"/>
      </w:pPr>
      <w:r>
        <w:rPr>
          <w:b w:val="0"/>
          <w:i w:val="0"/>
        </w:rPr>
        <w:t>El balance es diferenciado: la concentración presenta una diferencia clara en la muestra; la interpretación de la calidad decisoria requiere integrar fundamentos y resultados impugnatorios; y la reducción general de tiempos no está acreditada. En consecuencia, no corresponde declarar demostrada una mejora significativa ni homogénea por la sola comparación de porcentajes.</w:t>
      </w:r>
    </w:p>
    <w:p>
      <w:pPr>
        <w:pStyle w:val="Heading2"/>
      </w:pPr>
      <w:r>
        <w:t>2.8. APORTE JURÍDICO Y CIENTÍFICO DE LA INVESTIGACIÓN</w:t>
      </w:r>
    </w:p>
    <w:p>
      <w:pPr>
        <w:spacing w:after="120" w:line="360" w:lineRule="auto"/>
        <w:jc w:val="both"/>
      </w:pPr>
      <w:r>
        <w:rPr>
          <w:b w:val="0"/>
          <w:i w:val="0"/>
        </w:rPr>
        <w:t>La investigación aporta al debate sobre la reforma procesal civil peruana una evidencia de que la vigencia de un modelo no equivale a su eficacia operativa, como lo muestra el hallazgo de que la concentración procesal pasó del 20,7 % al 71,3 % entre los expedientes tradicionales y los de oralidad.</w:t>
      </w:r>
    </w:p>
    <w:p>
      <w:pPr>
        <w:spacing w:after="120" w:line="360" w:lineRule="auto"/>
        <w:jc w:val="both"/>
      </w:pPr>
      <w:r>
        <w:rPr>
          <w:b w:val="0"/>
          <w:i w:val="0"/>
        </w:rPr>
        <w:t>La aplicación de categorías de motivación constitucional al análisis de sentencias civiles permite ordenar los defectos observados y relacionarlos con sus consecuencias procesales. El aporte del estudio consiste en esa aplicación sistemática a las unidades examinadas; no acredita que sea la primera utilización civil de la tipología ni que no existan estudios anteriores en Arequipa.</w:t>
      </w:r>
    </w:p>
    <w:p>
      <w:pPr>
        <w:spacing w:after="120" w:line="360" w:lineRule="auto"/>
        <w:jc w:val="both"/>
      </w:pPr>
      <w:r>
        <w:rPr>
          <w:b w:val="0"/>
          <w:i w:val="0"/>
        </w:rPr>
        <w:t>En relación con el plazo razonable, el estudio distingue la duración de una revisión superior de la duración total que incluye eventuales reenvíos. Las medias de 318,6 y 313,3 días corresponden al primer aspecto. El efecto de las nulidades sobre el tiempo total constituye una relación que requiere reconstruir la cronología de cada expediente.</w:t>
      </w:r>
    </w:p>
    <w:p>
      <w:pPr>
        <w:spacing w:after="120" w:line="360" w:lineRule="auto"/>
        <w:jc w:val="both"/>
      </w:pPr>
      <w:r>
        <w:rPr>
          <w:b w:val="0"/>
          <w:i w:val="0"/>
        </w:rPr>
        <w:t>La ficha documental ofrece un procedimiento susceptible de aplicación en otros estudios, previa revisión de sus definiciones y criterios de codificación. La composición por vía procesal y por hito de segunda instancia permite describir la muestra de 167 expedientes, pero no garantiza equivalencia entre grupos ni elimina factores de confusión.</w:t>
      </w:r>
    </w:p>
    <w:p>
      <w:pPr>
        <w:spacing w:after="120" w:line="360" w:lineRule="auto"/>
        <w:jc w:val="both"/>
      </w:pPr>
      <w:r>
        <w:rPr>
          <w:b w:val="0"/>
          <w:i w:val="0"/>
        </w:rPr>
        <w:t>Finalmente, al triangular fuentes cuantitativas (fichas de análisis), doctrinales (Taruffo, Chiovenda, Cappelletti, Palomo Vélez, Cavani, Groppo) y jurisprudenciales (Llamoja y plazo razonable), la investigación aporta un modelo de discusión de resultados que no se limita a contrastar cifras con antecedentes, sino que reconstruye, a partir de la evidencia empírica, el estatuto epistemológico de las categorías jurídicas involucradas —motivación, inmediación, concentración, plazo razonable—, mostrando en qué medida cada una de ellas es efectivamente verificable en el texto de una resolución judicial y en qué medida permanece, todavía, como postulado normativo no realizado.</w:t>
      </w:r>
    </w:p>
    <w:p>
      <w:pPr>
        <w:pStyle w:val="Heading2"/>
      </w:pPr>
      <w:r>
        <w:t>2.9. MATRIZ INTEGRADORA DE LA TRIANGULACIÓN DE DENZIN</w:t>
      </w:r>
    </w:p>
    <w:tbl>
      <w:tblPr>
        <w:tblW w:type="dxa" w:w="88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00"/>
        <w:gridCol w:w="2600"/>
        <w:gridCol w:w="2400"/>
        <w:gridCol w:w="2200"/>
      </w:tblGrid>
      <w:tr>
        <w:tc>
          <w:tcPr>
            <w:tcW w:type="dxa" w:w="1600"/>
            <w:vAlign w:val="center"/>
          </w:tcPr>
          <w:p>
            <w:pPr>
              <w:spacing w:line="240" w:lineRule="auto" w:before="60" w:after="60"/>
              <w:jc w:val="left"/>
            </w:pPr>
            <w:r>
              <w:rPr>
                <w:b/>
                <w:i w:val="0"/>
                <w:sz w:val="20"/>
              </w:rPr>
              <w:t>Tipo de triangulación</w:t>
            </w:r>
          </w:p>
        </w:tc>
        <w:tc>
          <w:tcPr>
            <w:tcW w:type="dxa" w:w="2600"/>
            <w:vAlign w:val="center"/>
          </w:tcPr>
          <w:p>
            <w:pPr>
              <w:spacing w:line="240" w:lineRule="auto" w:before="60" w:after="60"/>
              <w:jc w:val="center"/>
            </w:pPr>
            <w:r>
              <w:rPr>
                <w:b/>
                <w:i w:val="0"/>
                <w:sz w:val="20"/>
              </w:rPr>
              <w:t>Evidencia utilizada</w:t>
            </w:r>
          </w:p>
        </w:tc>
        <w:tc>
          <w:tcPr>
            <w:tcW w:type="dxa" w:w="2400"/>
            <w:vAlign w:val="center"/>
          </w:tcPr>
          <w:p>
            <w:pPr>
              <w:spacing w:line="240" w:lineRule="auto" w:before="60" w:after="60"/>
              <w:jc w:val="center"/>
            </w:pPr>
            <w:r>
              <w:rPr>
                <w:b/>
                <w:i w:val="0"/>
                <w:sz w:val="20"/>
              </w:rPr>
              <w:t>Resultado obtenido</w:t>
            </w:r>
          </w:p>
        </w:tc>
        <w:tc>
          <w:tcPr>
            <w:tcW w:type="dxa" w:w="2200"/>
            <w:vAlign w:val="center"/>
          </w:tcPr>
          <w:p>
            <w:pPr>
              <w:spacing w:line="240" w:lineRule="auto" w:before="60" w:after="60"/>
              <w:jc w:val="center"/>
            </w:pPr>
            <w:r>
              <w:rPr>
                <w:b/>
                <w:i w:val="0"/>
                <w:sz w:val="20"/>
              </w:rPr>
              <w:t>Aporte a la investigación</w:t>
            </w:r>
          </w:p>
        </w:tc>
      </w:tr>
      <w:tr>
        <w:tc>
          <w:tcPr>
            <w:tcW w:type="dxa" w:w="1600"/>
            <w:vAlign w:val="center"/>
          </w:tcPr>
          <w:p>
            <w:pPr>
              <w:spacing w:line="240" w:lineRule="auto" w:before="60" w:after="60"/>
              <w:jc w:val="left"/>
            </w:pPr>
            <w:r>
              <w:rPr>
                <w:b w:val="0"/>
                <w:i w:val="0"/>
                <w:sz w:val="20"/>
              </w:rPr>
              <w:t>Teórica</w:t>
            </w:r>
          </w:p>
        </w:tc>
        <w:tc>
          <w:tcPr>
            <w:tcW w:type="dxa" w:w="2600"/>
            <w:vAlign w:val="center"/>
          </w:tcPr>
          <w:p>
            <w:pPr>
              <w:spacing w:line="240" w:lineRule="auto" w:before="60" w:after="60"/>
              <w:jc w:val="center"/>
            </w:pPr>
            <w:r>
              <w:rPr>
                <w:b w:val="0"/>
                <w:i w:val="0"/>
                <w:sz w:val="20"/>
              </w:rPr>
              <w:t>Oralidad procesal; relación entre oralidad y escritura; teoría del caso civil; principios de inmediación, concentración, economía, celeridad y tutela jurisdiccional efectiva; saneamiento procesal; hechos no controvertidos; convenciones probatorias; motivación judicial; valoración racional de la prueba; vicios probatorios; debido proceso y derecho al plazo razonable.</w:t>
            </w:r>
          </w:p>
        </w:tc>
        <w:tc>
          <w:tcPr>
            <w:tcW w:type="dxa" w:w="2400"/>
            <w:vAlign w:val="center"/>
          </w:tcPr>
          <w:p>
            <w:pPr>
              <w:spacing w:line="240" w:lineRule="auto" w:before="60" w:after="60"/>
              <w:jc w:val="center"/>
            </w:pPr>
            <w:r>
              <w:rPr>
                <w:b w:val="0"/>
                <w:i w:val="0"/>
                <w:sz w:val="20"/>
              </w:rPr>
              <w:t>La interpretación teórica evidencia que la oralidad constituye una condición facilitadora para concentrar actuaciones, mejorar la comunicación procesal y delimitar el conflicto, pero no garantiza por sí sola la calidad de la motivación, la correcta valoración probatoria ni la reducción general de la duración del proceso.</w:t>
            </w:r>
          </w:p>
        </w:tc>
        <w:tc>
          <w:tcPr>
            <w:tcW w:type="dxa" w:w="2200"/>
            <w:vAlign w:val="center"/>
          </w:tcPr>
          <w:p>
            <w:pPr>
              <w:spacing w:line="240" w:lineRule="auto" w:before="60" w:after="60"/>
              <w:jc w:val="center"/>
            </w:pPr>
            <w:r>
              <w:rPr>
                <w:b w:val="0"/>
                <w:i w:val="0"/>
                <w:sz w:val="20"/>
              </w:rPr>
              <w:t>Permitió comprender los resultados desde diferentes construcciones jurídicas y evitar una interpretación reducida de la efectividad basada únicamente en la realización de audiencias. Fortaleció la explicación de las relaciones entre oralidad, gestión procesal, prueba, motivación y estabilidad de las sentencias.</w:t>
            </w:r>
          </w:p>
        </w:tc>
      </w:tr>
      <w:tr>
        <w:tc>
          <w:tcPr>
            <w:tcW w:type="dxa" w:w="1600"/>
            <w:vAlign w:val="center"/>
          </w:tcPr>
          <w:p>
            <w:pPr>
              <w:spacing w:line="240" w:lineRule="auto" w:before="60" w:after="60"/>
              <w:jc w:val="left"/>
            </w:pPr>
            <w:r>
              <w:rPr>
                <w:b w:val="0"/>
                <w:i w:val="0"/>
                <w:sz w:val="20"/>
              </w:rPr>
              <w:t>De datos</w:t>
            </w:r>
          </w:p>
        </w:tc>
        <w:tc>
          <w:tcPr>
            <w:tcW w:type="dxa" w:w="2600"/>
            <w:vAlign w:val="center"/>
          </w:tcPr>
          <w:p>
            <w:pPr>
              <w:spacing w:line="240" w:lineRule="auto" w:before="60" w:after="60"/>
              <w:jc w:val="center"/>
            </w:pPr>
            <w:r>
              <w:rPr>
                <w:b w:val="0"/>
                <w:i w:val="0"/>
                <w:sz w:val="20"/>
              </w:rPr>
              <w:t>Código Procesal Civil; resoluciones administrativas del Poder Judicial; doctrina; jurisprudencia constitucional; expedientes tradicionales y MCCLO; actas de audiencia; sentencias de primera instancia; sentencias de segunda instancia; fichas documentales y resultados comparativos de 2018 y 2024.</w:t>
            </w:r>
          </w:p>
        </w:tc>
        <w:tc>
          <w:tcPr>
            <w:tcW w:type="dxa" w:w="2400"/>
            <w:vAlign w:val="center"/>
          </w:tcPr>
          <w:p>
            <w:pPr>
              <w:spacing w:line="240" w:lineRule="auto" w:before="60" w:after="60"/>
              <w:jc w:val="center"/>
            </w:pPr>
            <w:r>
              <w:rPr>
                <w:b w:val="0"/>
                <w:i w:val="0"/>
                <w:sz w:val="20"/>
              </w:rPr>
              <w:t>Las fuentes documentan diferencias en concentración y en resultados del control superior. Las series anuales y la muestra de expedientes utilizan bases distintas. La emisión oral y la reducción general de tiempos no se acreditan de manera uniforme; las diferencias no permiten atribución causal exclusiva al modelo.</w:t>
            </w:r>
          </w:p>
        </w:tc>
        <w:tc>
          <w:tcPr>
            <w:tcW w:type="dxa" w:w="2200"/>
            <w:vAlign w:val="center"/>
          </w:tcPr>
          <w:p>
            <w:pPr>
              <w:spacing w:line="240" w:lineRule="auto" w:before="60" w:after="60"/>
              <w:jc w:val="center"/>
            </w:pPr>
            <w:r>
              <w:rPr>
                <w:b w:val="0"/>
                <w:i w:val="0"/>
                <w:sz w:val="20"/>
              </w:rPr>
              <w:t>Permite contrastar registros, categorías doctrinales y parámetros jurídicos, delimitando el alcance de cada fuente y la comparabilidad de las bases utilizadas.</w:t>
            </w:r>
          </w:p>
        </w:tc>
      </w:tr>
      <w:tr>
        <w:tc>
          <w:tcPr>
            <w:tcW w:type="dxa" w:w="1600"/>
            <w:vAlign w:val="center"/>
          </w:tcPr>
          <w:p>
            <w:pPr>
              <w:spacing w:line="240" w:lineRule="auto" w:before="60" w:after="60"/>
              <w:jc w:val="left"/>
            </w:pPr>
            <w:r>
              <w:rPr>
                <w:b w:val="0"/>
                <w:i w:val="0"/>
                <w:sz w:val="20"/>
              </w:rPr>
              <w:t>Metodológica</w:t>
            </w:r>
          </w:p>
        </w:tc>
        <w:tc>
          <w:tcPr>
            <w:tcW w:type="dxa" w:w="2600"/>
            <w:vAlign w:val="center"/>
          </w:tcPr>
          <w:p>
            <w:pPr>
              <w:spacing w:line="240" w:lineRule="auto" w:before="60" w:after="60"/>
              <w:jc w:val="center"/>
            </w:pPr>
            <w:r>
              <w:rPr>
                <w:b w:val="0"/>
                <w:i w:val="0"/>
                <w:sz w:val="20"/>
              </w:rPr>
              <w:t>Ficha de análisis documental y lista de cotejo incorporada en la ficha. La matriz de consistencia también contempla guía de entrevista y cuestionario, pero su aplicación no se encuentra acreditada en los resultados proporcionados.</w:t>
            </w:r>
          </w:p>
        </w:tc>
        <w:tc>
          <w:tcPr>
            <w:tcW w:type="dxa" w:w="2400"/>
            <w:vAlign w:val="center"/>
          </w:tcPr>
          <w:p>
            <w:pPr>
              <w:spacing w:line="240" w:lineRule="auto" w:before="60" w:after="60"/>
              <w:jc w:val="center"/>
            </w:pPr>
            <w:r>
              <w:rPr>
                <w:b w:val="0"/>
                <w:i w:val="0"/>
                <w:sz w:val="20"/>
              </w:rPr>
              <w:t>La aplicación del instrumento documental permitió identificar y comparar las manifestaciones de oralidad, concentración, inmediación, prueba, motivación y control superior en los expedientes tradicionales y orales. No se acreditó una triangulación metodológica plena entre análisis documental, entrevistas y cuestionarios.</w:t>
            </w:r>
          </w:p>
        </w:tc>
        <w:tc>
          <w:tcPr>
            <w:tcW w:type="dxa" w:w="2200"/>
            <w:vAlign w:val="center"/>
          </w:tcPr>
          <w:p>
            <w:pPr>
              <w:spacing w:line="240" w:lineRule="auto" w:before="60" w:after="60"/>
              <w:jc w:val="center"/>
            </w:pPr>
            <w:r>
              <w:rPr>
                <w:b w:val="0"/>
                <w:i w:val="0"/>
                <w:sz w:val="20"/>
              </w:rPr>
              <w:t>Proporcionó un procedimiento sistemático para registrar evidencia homogénea, comparar ambos modelos y vincular los hallazgos con los objetivos. No obstante, al sustentarse principalmente en un instrumento documental, la diversidad metodológica es limitada y no permite incorporar percepciones de jueces, abogados o servidores judiciales.</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