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sz w:val="24"/>
          <w:szCs w:val="24"/>
        </w:rPr>
        <w:t xml:space="preserve">Tabla 6</w:t>
      </w:r>
    </w:p>
    <w:p>
      <w:pPr>
        <w:spacing w:after="60" w:before="0"/>
      </w:pPr>
      <w:r>
        <w:rPr>
          <w:rFonts w:ascii="Times New Roman" w:cs="Times New Roman" w:eastAsia="Times New Roman" w:hAnsi="Times New Roman"/>
          <w:i/>
          <w:iCs/>
          <w:sz w:val="24"/>
          <w:szCs w:val="24"/>
        </w:rPr>
        <w:t xml:space="preserve">Causales del pronunciamiento superior, por bloque y período procesal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0"/>
        <w:gridCol w:w="900"/>
        <w:gridCol w:w="1200"/>
        <w:gridCol w:w="800"/>
        <w:gridCol w:w="1100"/>
        <w:gridCol w:w="800"/>
      </w:tblGrid>
      <w:tr>
        <w:trPr>
          <w:tblHeader/>
        </w:trPr>
        <w:tc>
          <w:tcPr>
            <w:tcW w:type="dxa" w:w="4000"/>
            <w:gridSpan w:val="1"/>
            <w:tcBorders>
              <w:top w:val="single" w:color="000000" w:sz="6"/>
              <w:left w:val="none" w:color="FFFFFF" w:sz="0"/>
              <w:bottom w:val="single" w:color="000000" w:sz="6"/>
              <w:right w:val="none" w:color="FFFFFF" w:sz="0"/>
            </w:tcBorders>
            <w:tcMar>
              <w:left w:type="dxa" w:w="60"/>
              <w:right w:type="dxa" w:w="60"/>
            </w:tcMar>
          </w:tcPr>
          <w:p>
            <w:pPr>
              <w:spacing w:after="20" w:before="20"/>
              <w:jc w:val="left"/>
            </w:pPr>
            <w:r>
              <w:rPr>
                <w:rFonts w:ascii="Times New Roman" w:cs="Times New Roman" w:eastAsia="Times New Roman" w:hAnsi="Times New Roman"/>
                <w:b/>
                <w:bCs/>
                <w:sz w:val="20"/>
                <w:szCs w:val="20"/>
              </w:rPr>
              <w:t xml:space="preserve">Bloque / Causal</w:t>
            </w:r>
          </w:p>
        </w:tc>
        <w:tc>
          <w:tcPr>
            <w:tcW w:type="dxa" w:w="900"/>
            <w:gridSpan w:val="1"/>
            <w:tcBorders>
              <w:top w:val="single" w:color="000000" w:sz="6"/>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b/>
                <w:bCs/>
                <w:sz w:val="20"/>
                <w:szCs w:val="20"/>
              </w:rPr>
              <w:t xml:space="preserve">Código</w:t>
            </w:r>
          </w:p>
        </w:tc>
        <w:tc>
          <w:tcPr>
            <w:tcW w:type="dxa" w:w="1200"/>
            <w:gridSpan w:val="1"/>
            <w:tcBorders>
              <w:top w:val="single" w:color="000000" w:sz="6"/>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b/>
                <w:bCs/>
                <w:sz w:val="20"/>
                <w:szCs w:val="20"/>
              </w:rPr>
              <w:t>Tradicional (n = 53)</w:t>
            </w:r>
          </w:p>
        </w:tc>
        <w:tc>
          <w:tcPr>
            <w:tcW w:type="dxa" w:w="800"/>
            <w:gridSpan w:val="1"/>
            <w:tcBorders>
              <w:top w:val="single" w:color="000000" w:sz="6"/>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b/>
                <w:bCs/>
                <w:sz w:val="20"/>
                <w:szCs w:val="20"/>
              </w:rPr>
              <w:t xml:space="preserve">%</w:t>
            </w:r>
          </w:p>
        </w:tc>
        <w:tc>
          <w:tcPr>
            <w:tcW w:type="dxa" w:w="1100"/>
            <w:gridSpan w:val="1"/>
            <w:tcBorders>
              <w:top w:val="single" w:color="000000" w:sz="6"/>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b/>
                <w:bCs/>
                <w:sz w:val="20"/>
                <w:szCs w:val="20"/>
              </w:rPr>
              <w:t>Oralidad (n = 52)</w:t>
            </w:r>
          </w:p>
        </w:tc>
        <w:tc>
          <w:tcPr>
            <w:tcW w:type="dxa" w:w="800"/>
            <w:gridSpan w:val="1"/>
            <w:tcBorders>
              <w:top w:val="single" w:color="000000" w:sz="6"/>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b/>
                <w:bCs/>
                <w:sz w:val="20"/>
                <w:szCs w:val="20"/>
              </w:rPr>
              <w:t xml:space="preserve">%</w:t>
            </w:r>
          </w:p>
        </w:tc>
      </w:tr>
      <w:tr>
        <w:tc>
          <w:tcPr>
            <w:tcW w:type="dxa" w:w="8800"/>
            <w:gridSpan w:val="6"/>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b/>
                <w:bCs/>
                <w:sz w:val="20"/>
                <w:szCs w:val="20"/>
              </w:rPr>
              <w:t xml:space="preserve">I. Vicios in procedendo (nulidad)</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Prueba admitida no actuada antes de sentenciar</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D07</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3</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5,7</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3,8</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Prueba de oficio sin contradictorio (art. 194 CPC)</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D09</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1,9</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1,9</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Litisconsorte necesario no incorporado (art. 95 CPC)</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D03</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5</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9,4</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3,8</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Nulidad concatenada por vicio en resolución previa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D22</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4</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7,5</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6</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11,5</w:t>
            </w:r>
          </w:p>
        </w:tc>
      </w:tr>
      <w:tr>
        <w:tc>
          <w:tcPr>
            <w:tcW w:type="dxa" w:w="8800"/>
            <w:gridSpan w:val="6"/>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b/>
                <w:bCs/>
                <w:sz w:val="20"/>
                <w:szCs w:val="20"/>
              </w:rPr>
              <w:t xml:space="preserve">II. Vicios de motivación (tipología Llamoja)</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a) Inexistencia o motivación aparente</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a)</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6</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11,3</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7</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13,5</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b) Falta de motivación interna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b)</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5</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9,4</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4</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7,7</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c) Deficiencia en la motivación externa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c)</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8</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15,1</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8</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15,4</w:t>
            </w:r>
          </w:p>
        </w:tc>
      </w:tr>
      <w:tr>
        <w:tc>
          <w:tcPr>
            <w:tcW w:type="dxa" w:w="4000"/>
            <w:tcBorders>
              <w:top w:val="none" w:color="FFFFFF" w:sz="0"/>
              <w:left w:val="none" w:color="FFFFFF" w:sz="0"/>
              <w:bottom w:val="none" w:color="FFFFFF" w:sz="0"/>
              <w:right w:val="none" w:color="FFFFFF" w:sz="0"/>
            </w:tcBorders>
            <w:tcMar>
              <w:left w:type="dxa" w:w="360"/>
              <w:right w:type="dxa" w:w="60"/>
            </w:tcMar>
          </w:tcPr>
          <w:p>
            <w:pPr>
              <w:spacing w:after="20" w:before="20"/>
              <w:jc w:val="left"/>
            </w:pPr>
            <w:r>
              <w:rPr>
                <w:rFonts w:ascii="Times New Roman" w:cs="Times New Roman" w:eastAsia="Times New Roman" w:hAnsi="Times New Roman"/>
                <w:i/>
                <w:iCs/>
                <w:sz w:val="20"/>
                <w:szCs w:val="20"/>
              </w:rPr>
              <w:t xml:space="preserve">de ello: omisión de regla vinculante de Pleno Casatorio</w:t>
            </w:r>
          </w:p>
        </w:tc>
        <w:tc>
          <w:tcPr>
            <w:tcW w:type="dxa" w:w="9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 xml:space="preserve">c)</w:t>
            </w:r>
          </w:p>
        </w:tc>
        <w:tc>
          <w:tcPr>
            <w:tcW w:type="dxa" w:w="12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n. c.</w:t>
            </w:r>
          </w:p>
        </w:tc>
        <w:tc>
          <w:tcPr>
            <w:tcW w:type="dxa" w:w="8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w:t>
            </w:r>
          </w:p>
        </w:tc>
        <w:tc>
          <w:tcPr>
            <w:tcW w:type="dxa" w:w="11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n. c.</w:t>
            </w:r>
          </w:p>
        </w:tc>
        <w:tc>
          <w:tcPr>
            <w:tcW w:type="dxa" w:w="8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d) Motivación insuficiente</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d)</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9</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17,0</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10</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19,2</w:t>
            </w:r>
          </w:p>
        </w:tc>
      </w:tr>
      <w:tr>
        <w:tc>
          <w:tcPr>
            <w:tcW w:type="dxa" w:w="4000"/>
            <w:tcBorders>
              <w:top w:val="none" w:color="FFFFFF" w:sz="0"/>
              <w:left w:val="none" w:color="FFFFFF" w:sz="0"/>
              <w:bottom w:val="none" w:color="FFFFFF" w:sz="0"/>
              <w:right w:val="none" w:color="FFFFFF" w:sz="0"/>
            </w:tcBorders>
            <w:tcMar>
              <w:left w:type="dxa" w:w="360"/>
              <w:right w:type="dxa" w:w="60"/>
            </w:tcMar>
          </w:tcPr>
          <w:p>
            <w:pPr>
              <w:spacing w:after="20" w:before="20"/>
              <w:jc w:val="left"/>
            </w:pPr>
            <w:r>
              <w:rPr>
                <w:rFonts w:ascii="Times New Roman" w:cs="Times New Roman" w:eastAsia="Times New Roman" w:hAnsi="Times New Roman"/>
                <w:i/>
                <w:iCs/>
                <w:sz w:val="20"/>
                <w:szCs w:val="20"/>
              </w:rPr>
              <w:t xml:space="preserve">de ello: omisión de valoración de prueba admitida o decisiva</w:t>
            </w:r>
          </w:p>
        </w:tc>
        <w:tc>
          <w:tcPr>
            <w:tcW w:type="dxa" w:w="9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d) / D11</w:t>
            </w:r>
          </w:p>
        </w:tc>
        <w:tc>
          <w:tcPr>
            <w:tcW w:type="dxa" w:w="12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0</w:t>
            </w:r>
          </w:p>
        </w:tc>
        <w:tc>
          <w:tcPr>
            <w:tcW w:type="dxa" w:w="8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0,0</w:t>
            </w:r>
          </w:p>
        </w:tc>
        <w:tc>
          <w:tcPr>
            <w:tcW w:type="dxa" w:w="11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3</w:t>
            </w:r>
          </w:p>
        </w:tc>
        <w:tc>
          <w:tcPr>
            <w:tcW w:type="dxa" w:w="8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5,8</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e) Motivación sustancialmente incongruente</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e)</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11</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20,8</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6</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11,5</w:t>
            </w:r>
          </w:p>
        </w:tc>
      </w:tr>
      <w:tr>
        <w:tc>
          <w:tcPr>
            <w:tcW w:type="dxa" w:w="4000"/>
            <w:tcBorders>
              <w:top w:val="none" w:color="FFFFFF" w:sz="0"/>
              <w:left w:val="none" w:color="FFFFFF" w:sz="0"/>
              <w:bottom w:val="none" w:color="FFFFFF" w:sz="0"/>
              <w:right w:val="none" w:color="FFFFFF" w:sz="0"/>
            </w:tcBorders>
            <w:tcMar>
              <w:left w:type="dxa" w:w="360"/>
              <w:right w:type="dxa" w:w="60"/>
            </w:tcMar>
          </w:tcPr>
          <w:p>
            <w:pPr>
              <w:spacing w:after="20" w:before="20"/>
              <w:jc w:val="left"/>
            </w:pPr>
            <w:r>
              <w:rPr>
                <w:rFonts w:ascii="Times New Roman" w:cs="Times New Roman" w:eastAsia="Times New Roman" w:hAnsi="Times New Roman"/>
                <w:i/>
                <w:iCs/>
                <w:sz w:val="20"/>
                <w:szCs w:val="20"/>
              </w:rPr>
              <w:t xml:space="preserve">de ello: incongruencia ultra, extra o citra petita</w:t>
            </w:r>
          </w:p>
        </w:tc>
        <w:tc>
          <w:tcPr>
            <w:tcW w:type="dxa" w:w="9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e) / D16</w:t>
            </w:r>
          </w:p>
        </w:tc>
        <w:tc>
          <w:tcPr>
            <w:tcW w:type="dxa" w:w="12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9</w:t>
            </w:r>
          </w:p>
        </w:tc>
        <w:tc>
          <w:tcPr>
            <w:tcW w:type="dxa" w:w="8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17,0</w:t>
            </w:r>
          </w:p>
        </w:tc>
        <w:tc>
          <w:tcPr>
            <w:tcW w:type="dxa" w:w="11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6</w:t>
            </w:r>
          </w:p>
        </w:tc>
        <w:tc>
          <w:tcPr>
            <w:tcW w:type="dxa" w:w="8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11,5</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f) Motivación cualificada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f)</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0</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0,0</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0</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0,0</w:t>
            </w:r>
          </w:p>
        </w:tc>
      </w:tr>
      <w:tr>
        <w:tc>
          <w:tcPr>
            <w:tcW w:type="dxa" w:w="8800"/>
            <w:gridSpan w:val="6"/>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b/>
                <w:bCs/>
                <w:sz w:val="20"/>
                <w:szCs w:val="20"/>
              </w:rPr>
              <w:t xml:space="preserve">III. Errores in iudicando (revocación)</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Error en la calificación jurídica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n. c.</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n. c.</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Error en la valoración probatoria que cambia el fallo</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D12</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8</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15,1</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10</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19,2</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Pericia imprecisa o valoración pericial deficiente</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n. c.</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n. c.</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w:t>
            </w:r>
          </w:p>
        </w:tc>
      </w:tr>
      <w:tr>
        <w:tc>
          <w:tcPr>
            <w:tcW w:type="dxa" w:w="8800"/>
            <w:gridSpan w:val="6"/>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b/>
                <w:bCs/>
                <w:sz w:val="20"/>
                <w:szCs w:val="20"/>
              </w:rPr>
              <w:t xml:space="preserve">Por reclasificar</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Fallo con errores materiales ᵃ</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e) / D20</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0</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0,0</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3,8</w:t>
            </w:r>
          </w:p>
        </w:tc>
      </w:tr>
      <w:tr>
        <w:tc>
          <w:tcPr>
            <w:tcW w:type="dxa" w:w="8800"/>
            <w:gridSpan w:val="6"/>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b/>
                <w:bCs/>
                <w:sz w:val="20"/>
                <w:szCs w:val="20"/>
              </w:rPr>
              <w:t>Resultado del control (universo de sentencias: 2018, n = 281; 2024, n = 328)</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Anulada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61</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21,7</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66</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20,1</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Revocada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36</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12,8</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24</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7,3</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Confirmada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184</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65,5</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238</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72,6</w:t>
            </w:r>
          </w:p>
        </w:tc>
      </w:tr>
      <w:tr>
        <w:tc>
          <w:tcPr>
            <w:tcW w:type="dxa" w:w="4000"/>
            <w:gridSpan w:val="1"/>
            <w:tcBorders>
              <w:top w:val="none" w:color="FFFFFF" w:sz="0"/>
              <w:left w:val="none" w:color="FFFFFF" w:sz="0"/>
              <w:bottom w:val="single" w:color="000000" w:sz="6"/>
              <w:right w:val="none" w:color="FFFFFF" w:sz="0"/>
            </w:tcBorders>
            <w:tcMar>
              <w:left w:type="dxa" w:w="60"/>
              <w:right w:type="dxa" w:w="60"/>
            </w:tcMar>
          </w:tcPr>
          <w:p>
            <w:pPr>
              <w:spacing w:after="20" w:before="20"/>
              <w:jc w:val="left"/>
            </w:pPr>
            <w:r>
              <w:rPr>
                <w:rFonts w:ascii="Times New Roman" w:cs="Times New Roman" w:eastAsia="Times New Roman" w:hAnsi="Times New Roman"/>
                <w:b/>
                <w:sz w:val="20"/>
                <w:szCs w:val="20"/>
              </w:rPr>
              <w:t>Total general</w:t>
            </w:r>
          </w:p>
        </w:tc>
        <w:tc>
          <w:tcPr>
            <w:tcW w:type="dxa" w:w="900"/>
            <w:gridSpan w:val="1"/>
            <w:tcBorders>
              <w:top w:val="none" w:color="FFFFFF" w:sz="0"/>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r>
          </w:p>
        </w:tc>
        <w:tc>
          <w:tcPr>
            <w:tcW w:type="dxa" w:w="1200"/>
            <w:gridSpan w:val="1"/>
            <w:tcBorders>
              <w:top w:val="none" w:color="FFFFFF" w:sz="0"/>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281</w:t>
            </w:r>
          </w:p>
        </w:tc>
        <w:tc>
          <w:tcPr>
            <w:tcW w:type="dxa" w:w="800"/>
            <w:gridSpan w:val="1"/>
            <w:tcBorders>
              <w:top w:val="none" w:color="FFFFFF" w:sz="0"/>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100,0</w:t>
            </w:r>
          </w:p>
        </w:tc>
        <w:tc>
          <w:tcPr>
            <w:tcW w:type="dxa" w:w="1100"/>
            <w:gridSpan w:val="1"/>
            <w:tcBorders>
              <w:top w:val="none" w:color="FFFFFF" w:sz="0"/>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328</w:t>
            </w:r>
          </w:p>
        </w:tc>
        <w:tc>
          <w:tcPr>
            <w:tcW w:type="dxa" w:w="800"/>
            <w:gridSpan w:val="1"/>
            <w:tcBorders>
              <w:top w:val="none" w:color="FFFFFF" w:sz="0"/>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100,0</w:t>
            </w:r>
          </w:p>
        </w:tc>
      </w:tr>
    </w:tbl>
    <w:p>
      <w:pPr>
        <w:spacing w:after="60" w:before="12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Expedientes con sentencia de vista que declara la NULIDAD (se excluyen las revocadas): 53 del período Tradicional (2018) y 52 del período Oralidad (2024), que representan el 86,9 % de las 61 y el 78,8 % de las 66 sentencias anuladas del universo. Los bloques I y III cuentan las causales con estatus DECLARADO por la Sala; un expediente puede registrar varias, por lo que esas filas no suman 100 ni pueden agregarse por bloque. En el Bloque II, las filas a) a f) registran el supuesto principal de la STC 00728-2008-PHC/TC (caso Llamoja), una sola categoría por expediente; las 14 (26,4 %) y 17 (32,7 %) sentencias restantes se anularon por vicio procesal sin defecto de motivación. Las subfilas «de ello» cuentan, dentro de cada supuesto principal, los expedientes que además registran la causal indicada, y no se suman a él. En el Bloque III, por tratarse de sentencias anuladas, se consigna el error de juicio que la Sala invocó para anular; la calificación jurídica, la pericia y la omisión de regla vinculante de Pleno Casatorio no están codificadas en el catálogo D01–D23 (n. c.). El bloque «Resultado del control» se calcula sobre el universo de sentencias de cada período. Fuente: Corpus_unificado_CORREGIDO_SV_CSJA_2_TOTAL_3_FIN.xlsx, Corpus_Llamoja_UNIFICADO.xlsx y reporte de sentencias por período (2018: 281; 2024: 328).</w:t>
      </w:r>
    </w:p>
    <w:p>
      <w:pPr>
        <w:spacing w:after="60" w:before="0"/>
      </w:pPr>
      <w:r>
        <w:rPr>
          <w:rFonts w:ascii="Times New Roman" w:cs="Times New Roman" w:eastAsia="Times New Roman" w:hAnsi="Times New Roman"/>
          <w:sz w:val="20"/>
          <w:szCs w:val="20"/>
        </w:rPr>
        <w:t>ᵃ Pendiente de verificación en los expedientes: si la Sala censuró la discordancia entre la parte considerativa y la resolutiva, corresponde al supuesto e); si se trata de un defecto de forma insubsanable, a D20; si es un error material corregible (art. 407 CPC), debe excluirse del cómputo. Se consignan los expedientes con D20 declarado. Elaboración propia.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2026-09-25T03:22:50.426Z</dcterms:created>
  <dcterms:modified xsi:type="dcterms:W3CDTF">2026-09-25T03:22:50.433Z</dcterms:modified>
</cp:coreProperties>
</file>

<file path=docProps/custom.xml><?xml version="1.0" encoding="utf-8"?>
<Properties xmlns="http://schemas.openxmlformats.org/officeDocument/2006/custom-properties" xmlns:vt="http://schemas.openxmlformats.org/officeDocument/2006/docPropsVTypes"/>
</file>