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Pilotage des moteurs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Nunchuk (Wii)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propulsion, direction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I2C, bluetooth</w:t>
        <w:tab/>
        <w:t xml:space="preserve">UART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Détection d’obstacles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Capteur ultrason (I2C)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de l'environnement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Capteur Lidar (Google Car)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GPS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Allumage des feux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GPIO,LED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Capteur de luminosité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Ouverture des portes (RFID)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Tag RFID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Avertissement sonore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Lecteur MP3, haut-parleur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IHM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Bus CAN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Ecran LCD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Aide au stationnement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LIDAR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Capteur ultrason (I2C)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