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11888" w14:textId="77777777" w:rsidR="000F28E1" w:rsidRDefault="00000000">
      <w:pPr>
        <w:jc w:val="both"/>
        <w:rPr>
          <w:b/>
          <w:bCs/>
        </w:rPr>
      </w:pPr>
      <w:r>
        <w:rPr>
          <w:b/>
          <w:bCs/>
        </w:rPr>
        <w:t>Stratégie : Portefeuille construit à l’aide du facteur Qualité (long/short)</w:t>
      </w:r>
    </w:p>
    <w:p w14:paraId="5946FC03" w14:textId="77777777" w:rsidR="000F28E1" w:rsidRDefault="00000000">
      <w:pPr>
        <w:numPr>
          <w:ilvl w:val="0"/>
          <w:numId w:val="2"/>
        </w:numPr>
        <w:jc w:val="both"/>
      </w:pPr>
      <w:r>
        <w:t>Basé sur les travaux de Asness, Frazzini et Pedersen (AQR Capital Management), “Quality minus Junk”</w:t>
      </w:r>
    </w:p>
    <w:p w14:paraId="133EDA6E" w14:textId="77777777" w:rsidR="000F28E1" w:rsidRDefault="00000000">
      <w:pPr>
        <w:numPr>
          <w:ilvl w:val="0"/>
          <w:numId w:val="2"/>
        </w:numPr>
        <w:jc w:val="both"/>
      </w:pPr>
      <w:r>
        <w:t>La stratégie repose sur l'hypothèse que les actions dites de "qualité" (entreprises rentables, en croissance et sûres) ont tendance à surperformer les actions de faible qualité ("junk") sur le long terme.</w:t>
      </w:r>
    </w:p>
    <w:p w14:paraId="6D4E718B" w14:textId="77777777" w:rsidR="000F28E1" w:rsidRDefault="00000000">
      <w:pPr>
        <w:numPr>
          <w:ilvl w:val="0"/>
          <w:numId w:val="2"/>
        </w:numPr>
        <w:jc w:val="both"/>
      </w:pPr>
      <w:r>
        <w:t>Des positions longues sont prises sur les actions de la plus haute qualité, et des positions courtes sont prises sur les actions de la plus basse qualité.</w:t>
      </w:r>
    </w:p>
    <w:p w14:paraId="7566DB8D" w14:textId="77777777" w:rsidR="000F28E1" w:rsidRDefault="000F28E1">
      <w:pPr>
        <w:jc w:val="both"/>
      </w:pPr>
    </w:p>
    <w:p w14:paraId="0601AC62" w14:textId="77777777" w:rsidR="000F28E1" w:rsidRDefault="00000000">
      <w:pPr>
        <w:jc w:val="both"/>
      </w:pPr>
      <w:r>
        <w:t xml:space="preserve">Selon le papier d'Asness, Frazzini et Pedersen (2013), la "Qualité" est une mesure qui dépend de quatre pilliers : </w:t>
      </w:r>
    </w:p>
    <w:p w14:paraId="093EDE55" w14:textId="77777777" w:rsidR="000F28E1" w:rsidRDefault="000F28E1">
      <w:pPr>
        <w:jc w:val="both"/>
      </w:pPr>
    </w:p>
    <w:p w14:paraId="4BE4153B" w14:textId="77777777" w:rsidR="000F28E1" w:rsidRDefault="00000000">
      <w:pPr>
        <w:jc w:val="both"/>
        <w:rPr>
          <w:b/>
          <w:bCs/>
        </w:rPr>
      </w:pPr>
      <w:r>
        <w:rPr>
          <w:b/>
          <w:bCs/>
        </w:rPr>
        <w:t>1. Profitability (Rentabilité)</w:t>
      </w:r>
    </w:p>
    <w:p w14:paraId="080F54AD" w14:textId="77777777" w:rsidR="000F28E1" w:rsidRDefault="00000000">
      <w:pPr>
        <w:jc w:val="both"/>
      </w:pPr>
      <w:r>
        <w:t>C'est le pilier le plus important. On cherche des entreprises qui génèrent des profits élevés par rapport à leurs actifs ou leur capital.</w:t>
      </w:r>
    </w:p>
    <w:p w14:paraId="4F3014F6" w14:textId="77777777" w:rsidR="000F28E1" w:rsidRDefault="00000000">
      <w:pPr>
        <w:numPr>
          <w:ilvl w:val="0"/>
          <w:numId w:val="3"/>
        </w:numPr>
        <w:jc w:val="both"/>
      </w:pPr>
      <w:r>
        <w:t>Indicateur clé : Gross Profits over Assets (GPOA). On utilise souvent la marge brute plutôt que le résultat net car elle est moins sujette aux manipulations comptables.</w:t>
      </w:r>
    </w:p>
    <w:p w14:paraId="02A11057" w14:textId="77777777" w:rsidR="000F28E1" w:rsidRDefault="00000000">
      <w:pPr>
        <w:numPr>
          <w:ilvl w:val="0"/>
          <w:numId w:val="3"/>
        </w:numPr>
        <w:jc w:val="both"/>
      </w:pPr>
      <w:r>
        <w:t>Autres ratios : ROE (Return on Equity), ROA (Return on Assets), ou le Flux de Trésorerie Opérationnel (CFO).</w:t>
      </w:r>
    </w:p>
    <w:p w14:paraId="77FC8D74" w14:textId="77777777" w:rsidR="000F28E1" w:rsidRDefault="00000000">
      <w:pPr>
        <w:numPr>
          <w:ilvl w:val="0"/>
          <w:numId w:val="3"/>
        </w:numPr>
        <w:jc w:val="both"/>
      </w:pPr>
      <w:r>
        <w:t>Logique : Une entreprise rentable a plus de chances de survie et de réinvestissement.</w:t>
      </w:r>
    </w:p>
    <w:p w14:paraId="2ECB8FA8" w14:textId="77777777" w:rsidR="000F28E1" w:rsidRDefault="000F28E1">
      <w:pPr>
        <w:jc w:val="both"/>
      </w:pPr>
    </w:p>
    <w:p w14:paraId="5252FBD1" w14:textId="77777777" w:rsidR="000F28E1" w:rsidRDefault="00000000">
      <w:pPr>
        <w:jc w:val="both"/>
      </w:pPr>
      <w:r>
        <w:rPr>
          <w:b/>
          <w:bCs/>
        </w:rPr>
        <w:t>2. Growth (Croissance)</w:t>
      </w:r>
    </w:p>
    <w:p w14:paraId="54936E52" w14:textId="77777777" w:rsidR="000F28E1" w:rsidRDefault="00000000">
      <w:pPr>
        <w:jc w:val="both"/>
      </w:pPr>
      <w:r>
        <w:t>On ne cherche pas seulement des profits élevés, mais une amélioration de ces profits.</w:t>
      </w:r>
    </w:p>
    <w:p w14:paraId="36FC211F" w14:textId="77777777" w:rsidR="000F28E1" w:rsidRDefault="00000000">
      <w:pPr>
        <w:numPr>
          <w:ilvl w:val="0"/>
          <w:numId w:val="4"/>
        </w:numPr>
        <w:jc w:val="both"/>
      </w:pPr>
      <w:r>
        <w:t>Indicateur clé : La variation sur 5 ans de la rentabilité.</w:t>
      </w:r>
    </w:p>
    <w:p w14:paraId="018F7A3B" w14:textId="77777777" w:rsidR="000F28E1" w:rsidRDefault="00000000">
      <w:pPr>
        <w:numPr>
          <w:ilvl w:val="0"/>
          <w:numId w:val="4"/>
        </w:numPr>
        <w:jc w:val="both"/>
      </w:pPr>
      <w:r>
        <w:t>Logique : Les investisseurs récompensent les entreprises dont la qualité s'accroît, pas seulement celles qui sont déjà au sommet.</w:t>
      </w:r>
    </w:p>
    <w:p w14:paraId="7850E659" w14:textId="77777777" w:rsidR="000F28E1" w:rsidRDefault="000F28E1">
      <w:pPr>
        <w:jc w:val="both"/>
      </w:pPr>
    </w:p>
    <w:p w14:paraId="52A1D806" w14:textId="77777777" w:rsidR="000F28E1" w:rsidRDefault="00000000">
      <w:pPr>
        <w:jc w:val="both"/>
        <w:rPr>
          <w:b/>
          <w:bCs/>
        </w:rPr>
      </w:pPr>
      <w:r>
        <w:rPr>
          <w:b/>
          <w:bCs/>
        </w:rPr>
        <w:t>3. Safety (Sécurité)</w:t>
      </w:r>
    </w:p>
    <w:p w14:paraId="25E92E94" w14:textId="77777777" w:rsidR="000F28E1" w:rsidRDefault="00000000">
      <w:pPr>
        <w:jc w:val="both"/>
      </w:pPr>
      <w:r>
        <w:t>Ce pilier permet d'exclure les entreprises dont les profits sont élevés mais dont le risque de faillite est important.</w:t>
      </w:r>
    </w:p>
    <w:p w14:paraId="7DACB9C8" w14:textId="77777777" w:rsidR="000F28E1" w:rsidRDefault="00000000">
      <w:pPr>
        <w:numPr>
          <w:ilvl w:val="0"/>
          <w:numId w:val="1"/>
        </w:numPr>
        <w:jc w:val="both"/>
      </w:pPr>
      <w:r>
        <w:t>Sécurité Financière : Faible endettement (Leverage). On regarde le ratio Dette/EBITDA.</w:t>
      </w:r>
    </w:p>
    <w:p w14:paraId="66601B93" w14:textId="77777777" w:rsidR="000F28E1" w:rsidRDefault="00000000">
      <w:pPr>
        <w:numPr>
          <w:ilvl w:val="0"/>
          <w:numId w:val="1"/>
        </w:numPr>
        <w:jc w:val="both"/>
      </w:pPr>
      <w:r>
        <w:t>Sécurité de Marché : On privilégie les actions à faible Beta et faible volatilité.</w:t>
      </w:r>
    </w:p>
    <w:p w14:paraId="100EC23A" w14:textId="77777777" w:rsidR="000F28E1" w:rsidRDefault="00000000">
      <w:pPr>
        <w:numPr>
          <w:ilvl w:val="0"/>
          <w:numId w:val="1"/>
        </w:numPr>
        <w:jc w:val="both"/>
      </w:pPr>
      <w:r>
        <w:t>Logique : Une "action de qualité" doit être un refuge en période de stress de marché.</w:t>
      </w:r>
    </w:p>
    <w:p w14:paraId="213DED29" w14:textId="77777777" w:rsidR="000F28E1" w:rsidRDefault="000F28E1">
      <w:pPr>
        <w:jc w:val="both"/>
      </w:pPr>
    </w:p>
    <w:p w14:paraId="5FBFF950" w14:textId="77777777" w:rsidR="000F28E1" w:rsidRDefault="00000000">
      <w:pPr>
        <w:jc w:val="both"/>
      </w:pPr>
      <w:r>
        <w:rPr>
          <w:b/>
          <w:bCs/>
        </w:rPr>
        <w:t>4. Payout (Distribution)</w:t>
      </w:r>
    </w:p>
    <w:p w14:paraId="62CC4D79" w14:textId="77777777" w:rsidR="000F28E1" w:rsidRDefault="00000000">
      <w:pPr>
        <w:jc w:val="both"/>
      </w:pPr>
      <w:r>
        <w:t>Ce pilier mesure la manière dont l'entreprise traite ses actionnaires.</w:t>
      </w:r>
    </w:p>
    <w:p w14:paraId="52C50BE0" w14:textId="77777777" w:rsidR="000F28E1" w:rsidRDefault="00000000">
      <w:pPr>
        <w:numPr>
          <w:ilvl w:val="0"/>
          <w:numId w:val="7"/>
        </w:numPr>
        <w:jc w:val="both"/>
      </w:pPr>
      <w:r>
        <w:t>Indicateurs clés : Equity Issuance (est-ce qu'ils émettent de nouvelles actions ?) et Dividend Yield.</w:t>
      </w:r>
    </w:p>
    <w:p w14:paraId="6C655FF2" w14:textId="77777777" w:rsidR="000F28E1" w:rsidRDefault="00000000">
      <w:pPr>
        <w:numPr>
          <w:ilvl w:val="0"/>
          <w:numId w:val="7"/>
        </w:numPr>
        <w:jc w:val="both"/>
      </w:pPr>
      <w:r>
        <w:t>Logique : Les entreprises de qualité n'ont pas besoin de lever constamment des fonds sur le marché ; au contraire, elles redistribuent l'excédent via des dividendes ou des rachats d'actions (Buybacks).</w:t>
      </w:r>
    </w:p>
    <w:p w14:paraId="081EC360" w14:textId="77777777" w:rsidR="000F28E1" w:rsidRDefault="000F28E1">
      <w:pPr>
        <w:jc w:val="both"/>
      </w:pPr>
    </w:p>
    <w:p w14:paraId="1F39E21D" w14:textId="77777777" w:rsidR="000F28E1" w:rsidRDefault="00000000">
      <w:pPr>
        <w:jc w:val="both"/>
      </w:pPr>
      <w:r>
        <w:t xml:space="preserve">Récapitulatif : </w:t>
      </w:r>
    </w:p>
    <w:p w14:paraId="0AA43AC5" w14:textId="77777777" w:rsidR="000F28E1" w:rsidRDefault="000F28E1">
      <w:pPr>
        <w:jc w:val="both"/>
      </w:pPr>
    </w:p>
    <w:p w14:paraId="596F4EF0" w14:textId="77777777" w:rsidR="000F28E1" w:rsidRDefault="000F28E1">
      <w:pPr>
        <w:jc w:val="both"/>
      </w:pPr>
    </w:p>
    <w:tbl>
      <w:tblPr>
        <w:tblStyle w:val="a"/>
        <w:tblW w:w="9030" w:type="dxa"/>
        <w:tblInd w:w="0" w:type="dxa"/>
        <w:tblLayout w:type="fixed"/>
        <w:tblLook w:val="0600" w:firstRow="0" w:lastRow="0" w:firstColumn="0" w:lastColumn="0" w:noHBand="1" w:noVBand="1"/>
      </w:tblPr>
      <w:tblGrid>
        <w:gridCol w:w="1470"/>
        <w:gridCol w:w="1635"/>
        <w:gridCol w:w="1965"/>
        <w:gridCol w:w="3015"/>
        <w:gridCol w:w="945"/>
      </w:tblGrid>
      <w:tr w:rsidR="000F28E1" w14:paraId="1598545B" w14:textId="77777777">
        <w:trPr>
          <w:trHeight w:val="1070"/>
        </w:trPr>
        <w:tc>
          <w:tcPr>
            <w:tcW w:w="1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342FF2" w14:textId="77777777" w:rsidR="000F28E1" w:rsidRDefault="00000000">
            <w:pPr>
              <w:spacing w:after="480"/>
              <w:jc w:val="both"/>
            </w:pPr>
            <w:r>
              <w:rPr>
                <w:b/>
                <w:bCs/>
              </w:rPr>
              <w:lastRenderedPageBreak/>
              <w:t>Pilier AQR</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2019D3" w14:textId="77777777" w:rsidR="000F28E1" w:rsidRDefault="00000000">
            <w:pPr>
              <w:spacing w:after="480"/>
              <w:jc w:val="both"/>
            </w:pPr>
            <w:r>
              <w:rPr>
                <w:b/>
                <w:bCs/>
              </w:rPr>
              <w:t>Indicateur Code</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8B955D" w14:textId="77777777" w:rsidR="000F28E1" w:rsidRDefault="00000000">
            <w:pPr>
              <w:spacing w:after="480"/>
              <w:jc w:val="both"/>
            </w:pPr>
            <w:r>
              <w:rPr>
                <w:b/>
                <w:bCs/>
              </w:rPr>
              <w:t>Agrégat Comptable / Formule</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EDBEDE" w14:textId="77777777" w:rsidR="000F28E1" w:rsidRDefault="00000000">
            <w:pPr>
              <w:spacing w:after="480"/>
              <w:jc w:val="both"/>
            </w:pPr>
            <w:r>
              <w:rPr>
                <w:b/>
                <w:bCs/>
              </w:rPr>
              <w:t>Logique d'Investissement</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C01952" w14:textId="77777777" w:rsidR="000F28E1" w:rsidRDefault="00000000">
            <w:pPr>
              <w:spacing w:after="480"/>
              <w:jc w:val="both"/>
            </w:pPr>
            <w:r>
              <w:rPr>
                <w:b/>
                <w:bCs/>
              </w:rPr>
              <w:t>Impact Score</w:t>
            </w:r>
          </w:p>
        </w:tc>
      </w:tr>
      <w:tr w:rsidR="000F28E1" w14:paraId="0ACB7C75" w14:textId="77777777">
        <w:trPr>
          <w:trHeight w:val="1070"/>
        </w:trPr>
        <w:tc>
          <w:tcPr>
            <w:tcW w:w="147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FE8DA50" w14:textId="77777777" w:rsidR="000F28E1" w:rsidRDefault="00000000">
            <w:pPr>
              <w:spacing w:after="480"/>
              <w:jc w:val="both"/>
            </w:pPr>
            <w:r>
              <w:rPr>
                <w:b/>
                <w:bCs/>
              </w:rPr>
              <w:t>Profitability</w:t>
            </w:r>
          </w:p>
          <w:p w14:paraId="730BEBD4" w14:textId="77777777" w:rsidR="000F28E1" w:rsidRDefault="000F28E1">
            <w:pPr>
              <w:spacing w:after="480"/>
              <w:jc w:val="both"/>
            </w:pPr>
          </w:p>
          <w:p w14:paraId="2B6309C5" w14:textId="77777777" w:rsidR="000F28E1" w:rsidRDefault="000F28E1">
            <w:pPr>
              <w:spacing w:after="480"/>
              <w:jc w:val="both"/>
            </w:pPr>
          </w:p>
          <w:p w14:paraId="117A97D2" w14:textId="77777777" w:rsidR="000F28E1" w:rsidRDefault="000F28E1">
            <w:pPr>
              <w:spacing w:after="480"/>
              <w:jc w:val="both"/>
            </w:pPr>
          </w:p>
          <w:p w14:paraId="271F112F" w14:textId="77777777" w:rsidR="000F28E1" w:rsidRDefault="000F28E1">
            <w:pPr>
              <w:spacing w:after="480"/>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E2ECE5" w14:textId="77777777" w:rsidR="000F28E1" w:rsidRDefault="00000000">
            <w:pPr>
              <w:spacing w:after="480"/>
              <w:jc w:val="both"/>
            </w:pPr>
            <w:r>
              <w:t>Prof_GPOA</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A70F91" w14:textId="77777777" w:rsidR="000F28E1" w:rsidRDefault="00000000">
            <w:pPr>
              <w:spacing w:after="480"/>
              <w:jc w:val="both"/>
            </w:pPr>
            <w:r>
              <w:t>(Revenus - Coût des ventes) / Total Actifs</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50D099C" w14:textId="77777777" w:rsidR="000F28E1" w:rsidRDefault="00000000">
            <w:pPr>
              <w:spacing w:after="480"/>
              <w:jc w:val="both"/>
            </w:pPr>
            <w:r>
              <w:t>Mesure la rentabilité pure des actifs sans distorsion fiscale.</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36A101" w14:textId="77777777" w:rsidR="000F28E1" w:rsidRDefault="00000000">
            <w:pPr>
              <w:spacing w:after="480"/>
              <w:jc w:val="both"/>
            </w:pPr>
            <w:r>
              <w:rPr>
                <w:b/>
                <w:bCs/>
              </w:rPr>
              <w:t>+</w:t>
            </w:r>
          </w:p>
        </w:tc>
      </w:tr>
      <w:tr w:rsidR="000F28E1" w14:paraId="3CA100C8" w14:textId="77777777">
        <w:trPr>
          <w:trHeight w:val="107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7246DB"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A151BCC" w14:textId="77777777" w:rsidR="000F28E1" w:rsidRDefault="00000000">
            <w:pPr>
              <w:spacing w:after="480"/>
              <w:jc w:val="both"/>
            </w:pPr>
            <w:r>
              <w:t>Prof_ROE</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D82B98" w14:textId="77777777" w:rsidR="000F28E1" w:rsidRDefault="00000000">
            <w:pPr>
              <w:spacing w:after="480"/>
              <w:jc w:val="both"/>
            </w:pPr>
            <w:r>
              <w:t>Résultat Net / Capitaux Propres</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0D0876" w14:textId="77777777" w:rsidR="000F28E1" w:rsidRDefault="00000000">
            <w:pPr>
              <w:spacing w:after="480"/>
              <w:jc w:val="both"/>
            </w:pPr>
            <w:r>
              <w:t>Rendement généré pour chaque euro investi par l'actionnaire.</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0A7115" w14:textId="77777777" w:rsidR="000F28E1" w:rsidRDefault="00000000">
            <w:pPr>
              <w:spacing w:after="480"/>
              <w:jc w:val="both"/>
            </w:pPr>
            <w:r>
              <w:rPr>
                <w:b/>
                <w:bCs/>
              </w:rPr>
              <w:t>+</w:t>
            </w:r>
          </w:p>
        </w:tc>
      </w:tr>
      <w:tr w:rsidR="000F28E1" w14:paraId="0B61A806" w14:textId="77777777">
        <w:trPr>
          <w:trHeight w:val="107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A7BD72"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1B6826" w14:textId="77777777" w:rsidR="000F28E1" w:rsidRDefault="00000000">
            <w:pPr>
              <w:spacing w:after="480"/>
              <w:jc w:val="both"/>
            </w:pPr>
            <w:r>
              <w:t>Prof_ROA</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775A50" w14:textId="77777777" w:rsidR="000F28E1" w:rsidRDefault="00000000">
            <w:pPr>
              <w:spacing w:after="480"/>
              <w:jc w:val="both"/>
            </w:pPr>
            <w:r>
              <w:t>Résultat Net / Total Actifs</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D0871A" w14:textId="77777777" w:rsidR="000F28E1" w:rsidRDefault="00000000">
            <w:pPr>
              <w:spacing w:after="480"/>
              <w:jc w:val="both"/>
            </w:pPr>
            <w:r>
              <w:t>Efficacité globale de l'entreprise à utiliser ses ressources.</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DBDAB2" w14:textId="77777777" w:rsidR="000F28E1" w:rsidRDefault="00000000">
            <w:pPr>
              <w:spacing w:after="480"/>
              <w:jc w:val="both"/>
            </w:pPr>
            <w:r>
              <w:rPr>
                <w:b/>
                <w:bCs/>
              </w:rPr>
              <w:t>+</w:t>
            </w:r>
          </w:p>
        </w:tc>
      </w:tr>
      <w:tr w:rsidR="000F28E1" w14:paraId="0F76BB04" w14:textId="77777777">
        <w:trPr>
          <w:trHeight w:val="134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779AFD"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81A736" w14:textId="77777777" w:rsidR="000F28E1" w:rsidRDefault="00000000">
            <w:pPr>
              <w:spacing w:after="480"/>
              <w:jc w:val="both"/>
            </w:pPr>
            <w:r>
              <w:t>Prof_CFOA</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F8B183" w14:textId="77777777" w:rsidR="000F28E1" w:rsidRDefault="00000000">
            <w:pPr>
              <w:spacing w:after="480"/>
              <w:jc w:val="both"/>
            </w:pPr>
            <w:r>
              <w:t>Flux de Trésorerie Opérationnel / Total Actifs</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2BEC1D5" w14:textId="77777777" w:rsidR="000F28E1" w:rsidRDefault="00000000">
            <w:pPr>
              <w:spacing w:after="480"/>
              <w:jc w:val="both"/>
            </w:pPr>
            <w:r>
              <w:t>Capacité à générer du cash réel (plus fiable que le profit net).</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B1F0104" w14:textId="77777777" w:rsidR="000F28E1" w:rsidRDefault="00000000">
            <w:pPr>
              <w:spacing w:after="480"/>
              <w:jc w:val="both"/>
            </w:pPr>
            <w:r>
              <w:rPr>
                <w:b/>
                <w:bCs/>
              </w:rPr>
              <w:t>+</w:t>
            </w:r>
          </w:p>
        </w:tc>
      </w:tr>
      <w:tr w:rsidR="000F28E1" w14:paraId="279F0394" w14:textId="77777777">
        <w:trPr>
          <w:trHeight w:val="107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F143A5"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BCFDD0" w14:textId="77777777" w:rsidR="000F28E1" w:rsidRDefault="00000000">
            <w:pPr>
              <w:spacing w:after="480"/>
              <w:jc w:val="both"/>
            </w:pPr>
            <w:r>
              <w:t>Prof_Accruals</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61EB7A" w14:textId="77777777" w:rsidR="000F28E1" w:rsidRDefault="00000000">
            <w:pPr>
              <w:spacing w:after="480"/>
              <w:jc w:val="both"/>
            </w:pPr>
            <w:r>
              <w:t>(Résultat Net - Cash Flow Opé) / Total Actifs</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A939C22" w14:textId="77777777" w:rsidR="000F28E1" w:rsidRDefault="00000000">
            <w:pPr>
              <w:spacing w:after="480"/>
              <w:jc w:val="both"/>
            </w:pPr>
            <w:r>
              <w:t>Détecte les manipulations comptables ou les profits "virtuels".</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BD9A516" w14:textId="77777777" w:rsidR="000F28E1" w:rsidRDefault="00000000">
            <w:pPr>
              <w:spacing w:after="480"/>
              <w:jc w:val="both"/>
            </w:pPr>
            <w:r>
              <w:rPr>
                <w:b/>
                <w:bCs/>
              </w:rPr>
              <w:t>-</w:t>
            </w:r>
          </w:p>
        </w:tc>
      </w:tr>
      <w:tr w:rsidR="000F28E1" w14:paraId="55BD6B5A" w14:textId="77777777">
        <w:trPr>
          <w:trHeight w:val="1070"/>
        </w:trPr>
        <w:tc>
          <w:tcPr>
            <w:tcW w:w="147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58FC4A" w14:textId="77777777" w:rsidR="000F28E1" w:rsidRDefault="00000000">
            <w:pPr>
              <w:spacing w:after="480"/>
              <w:jc w:val="both"/>
            </w:pPr>
            <w:r>
              <w:rPr>
                <w:b/>
                <w:bCs/>
              </w:rPr>
              <w:t>Growth</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36D36" w14:textId="77777777" w:rsidR="000F28E1" w:rsidRDefault="00000000">
            <w:pPr>
              <w:spacing w:after="480"/>
              <w:jc w:val="both"/>
            </w:pPr>
            <w:r>
              <w:t>Grow_Earn</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1191A6" w14:textId="77777777" w:rsidR="000F28E1" w:rsidRDefault="00000000">
            <w:pPr>
              <w:spacing w:after="480"/>
              <w:jc w:val="both"/>
            </w:pPr>
            <w:r>
              <w:t>Var. % du Résultat Net (Année N vs N-3)</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0D6FC3" w14:textId="77777777" w:rsidR="000F28E1" w:rsidRDefault="00000000">
            <w:pPr>
              <w:spacing w:after="480"/>
              <w:jc w:val="both"/>
            </w:pPr>
            <w:r>
              <w:t>Mesure la capacité de l'entreprise à croître sur le long terme.</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85593E" w14:textId="77777777" w:rsidR="000F28E1" w:rsidRDefault="00000000">
            <w:pPr>
              <w:spacing w:after="480"/>
              <w:jc w:val="both"/>
            </w:pPr>
            <w:r>
              <w:rPr>
                <w:b/>
                <w:bCs/>
              </w:rPr>
              <w:t>+</w:t>
            </w:r>
          </w:p>
        </w:tc>
      </w:tr>
      <w:tr w:rsidR="000F28E1" w14:paraId="3F181572" w14:textId="77777777">
        <w:trPr>
          <w:trHeight w:val="107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CC2EA4"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262657" w14:textId="77777777" w:rsidR="000F28E1" w:rsidRDefault="00000000">
            <w:pPr>
              <w:spacing w:after="480"/>
              <w:jc w:val="both"/>
            </w:pPr>
            <w:r>
              <w:t>Grow_Rev</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99AC81" w14:textId="77777777" w:rsidR="000F28E1" w:rsidRDefault="00000000">
            <w:pPr>
              <w:spacing w:after="480"/>
              <w:jc w:val="both"/>
            </w:pPr>
            <w:r>
              <w:t>Variation % du Chiffre d'Affaires</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7B7CA0" w14:textId="77777777" w:rsidR="000F28E1" w:rsidRDefault="00000000">
            <w:pPr>
              <w:spacing w:after="480"/>
              <w:jc w:val="both"/>
            </w:pPr>
            <w:r>
              <w:t>Vérifie que la croissance vient des ventes et non d'économies de coûts.</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68BC9A" w14:textId="77777777" w:rsidR="000F28E1" w:rsidRDefault="00000000">
            <w:pPr>
              <w:spacing w:after="480"/>
              <w:jc w:val="both"/>
            </w:pPr>
            <w:r>
              <w:rPr>
                <w:b/>
                <w:bCs/>
              </w:rPr>
              <w:t>+</w:t>
            </w:r>
          </w:p>
        </w:tc>
      </w:tr>
      <w:tr w:rsidR="000F28E1" w14:paraId="0740F1F7" w14:textId="77777777">
        <w:trPr>
          <w:trHeight w:val="1070"/>
        </w:trPr>
        <w:tc>
          <w:tcPr>
            <w:tcW w:w="147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FB846B" w14:textId="77777777" w:rsidR="000F28E1" w:rsidRDefault="00000000">
            <w:pPr>
              <w:spacing w:after="480"/>
              <w:jc w:val="both"/>
            </w:pPr>
            <w:r>
              <w:rPr>
                <w:b/>
                <w:bCs/>
              </w:rPr>
              <w:lastRenderedPageBreak/>
              <w:t>Safety</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13B3B8" w14:textId="77777777" w:rsidR="000F28E1" w:rsidRDefault="00000000">
            <w:pPr>
              <w:spacing w:after="480"/>
              <w:jc w:val="both"/>
            </w:pPr>
            <w:r>
              <w:t>Safe_Beta</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E2722F" w14:textId="77777777" w:rsidR="000F28E1" w:rsidRDefault="00000000">
            <w:pPr>
              <w:spacing w:after="480"/>
              <w:jc w:val="both"/>
            </w:pPr>
            <w:r>
              <w:t>Corrélation du titre face à l'indice (SPY)</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4354D5" w14:textId="77777777" w:rsidR="000F28E1" w:rsidRDefault="00000000">
            <w:pPr>
              <w:spacing w:after="480"/>
              <w:jc w:val="both"/>
            </w:pPr>
            <w:r>
              <w:t>Évalue l'exposition au risque de marché global.</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1A4E77" w14:textId="77777777" w:rsidR="000F28E1" w:rsidRDefault="00000000">
            <w:pPr>
              <w:spacing w:after="480"/>
              <w:jc w:val="both"/>
            </w:pPr>
            <w:r>
              <w:rPr>
                <w:b/>
                <w:bCs/>
              </w:rPr>
              <w:t>-</w:t>
            </w:r>
          </w:p>
        </w:tc>
      </w:tr>
      <w:tr w:rsidR="000F28E1" w14:paraId="15F9D69F" w14:textId="77777777">
        <w:trPr>
          <w:trHeight w:val="107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8F5630"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EA57E3" w14:textId="77777777" w:rsidR="000F28E1" w:rsidRDefault="00000000">
            <w:pPr>
              <w:spacing w:after="480"/>
              <w:jc w:val="both"/>
            </w:pPr>
            <w:r>
              <w:t>Safe_IVol</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33A8140" w14:textId="77777777" w:rsidR="000F28E1" w:rsidRDefault="00000000">
            <w:pPr>
              <w:spacing w:after="480"/>
              <w:jc w:val="both"/>
            </w:pPr>
            <w:r>
              <w:t>Écart-type des résidus (Risque spécifique)</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7D294C" w14:textId="77777777" w:rsidR="000F28E1" w:rsidRDefault="00000000">
            <w:pPr>
              <w:spacing w:after="480"/>
              <w:jc w:val="both"/>
            </w:pPr>
            <w:r>
              <w:t>Mesure le risque propre à l'entreprise (non lié au marché).</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A63988" w14:textId="77777777" w:rsidR="000F28E1" w:rsidRDefault="00000000">
            <w:pPr>
              <w:spacing w:after="480"/>
              <w:jc w:val="both"/>
            </w:pPr>
            <w:r>
              <w:rPr>
                <w:b/>
                <w:bCs/>
              </w:rPr>
              <w:t>-</w:t>
            </w:r>
          </w:p>
        </w:tc>
      </w:tr>
      <w:tr w:rsidR="000F28E1" w14:paraId="7B70F992" w14:textId="77777777">
        <w:trPr>
          <w:trHeight w:val="107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AB5ECA"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5603ABB" w14:textId="77777777" w:rsidR="000F28E1" w:rsidRDefault="00000000">
            <w:pPr>
              <w:spacing w:after="480"/>
              <w:jc w:val="both"/>
            </w:pPr>
            <w:r>
              <w:t>Safe_Lev</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B9FF7D" w14:textId="77777777" w:rsidR="000F28E1" w:rsidRDefault="00000000">
            <w:pPr>
              <w:spacing w:after="480"/>
              <w:jc w:val="both"/>
            </w:pPr>
            <w:r>
              <w:t>Dette Totale / Total Actifs</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8B12EF" w14:textId="77777777" w:rsidR="000F28E1" w:rsidRDefault="00000000">
            <w:pPr>
              <w:spacing w:after="480"/>
              <w:jc w:val="both"/>
            </w:pPr>
            <w:r>
              <w:t>Évalue la dépendance aux créanciers et le risque de faillite.</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3624153" w14:textId="77777777" w:rsidR="000F28E1" w:rsidRDefault="00000000">
            <w:pPr>
              <w:spacing w:after="480"/>
              <w:jc w:val="both"/>
            </w:pPr>
            <w:r>
              <w:rPr>
                <w:b/>
                <w:bCs/>
              </w:rPr>
              <w:t>-</w:t>
            </w:r>
          </w:p>
        </w:tc>
      </w:tr>
      <w:tr w:rsidR="000F28E1" w14:paraId="28DCABF7" w14:textId="77777777">
        <w:trPr>
          <w:trHeight w:val="1070"/>
        </w:trPr>
        <w:tc>
          <w:tcPr>
            <w:tcW w:w="1470" w:type="dxa"/>
            <w:vMerge w:val="restart"/>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8234FE0" w14:textId="77777777" w:rsidR="000F28E1" w:rsidRDefault="00000000">
            <w:pPr>
              <w:spacing w:after="480"/>
              <w:jc w:val="both"/>
            </w:pPr>
            <w:r>
              <w:rPr>
                <w:b/>
                <w:bCs/>
              </w:rPr>
              <w:t>Payout</w:t>
            </w: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DBC0557" w14:textId="77777777" w:rsidR="000F28E1" w:rsidRDefault="00000000">
            <w:pPr>
              <w:spacing w:after="480"/>
              <w:jc w:val="both"/>
            </w:pPr>
            <w:r>
              <w:t>Pay_Yield</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25A096" w14:textId="77777777" w:rsidR="000F28E1" w:rsidRDefault="00000000">
            <w:pPr>
              <w:spacing w:after="480"/>
              <w:jc w:val="both"/>
            </w:pPr>
            <w:r>
              <w:t>Dividende par Action / Prix de l'Action</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8E8D5B" w14:textId="77777777" w:rsidR="000F28E1" w:rsidRDefault="00000000">
            <w:pPr>
              <w:spacing w:after="480"/>
              <w:jc w:val="both"/>
            </w:pPr>
            <w:r>
              <w:t>Rendement distribué immédiatement à l'actionnaire.</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6D1C76F" w14:textId="77777777" w:rsidR="000F28E1" w:rsidRDefault="00000000">
            <w:pPr>
              <w:spacing w:after="480"/>
              <w:jc w:val="both"/>
            </w:pPr>
            <w:r>
              <w:rPr>
                <w:b/>
                <w:bCs/>
              </w:rPr>
              <w:t>+</w:t>
            </w:r>
          </w:p>
        </w:tc>
      </w:tr>
      <w:tr w:rsidR="000F28E1" w14:paraId="63E08D2B" w14:textId="77777777">
        <w:trPr>
          <w:trHeight w:val="1070"/>
        </w:trPr>
        <w:tc>
          <w:tcPr>
            <w:tcW w:w="1470" w:type="dxa"/>
            <w:vMerge/>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4BDF6E0" w14:textId="77777777" w:rsidR="000F28E1" w:rsidRDefault="000F28E1">
            <w:pPr>
              <w:spacing w:line="240" w:lineRule="auto"/>
              <w:jc w:val="both"/>
            </w:pPr>
          </w:p>
        </w:tc>
        <w:tc>
          <w:tcPr>
            <w:tcW w:w="163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B4C889" w14:textId="77777777" w:rsidR="000F28E1" w:rsidRDefault="00000000">
            <w:pPr>
              <w:spacing w:after="480"/>
              <w:jc w:val="both"/>
            </w:pPr>
            <w:r>
              <w:t>Pay_Ratio</w:t>
            </w:r>
          </w:p>
        </w:tc>
        <w:tc>
          <w:tcPr>
            <w:tcW w:w="19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7E35D2" w14:textId="77777777" w:rsidR="000F28E1" w:rsidRDefault="00000000">
            <w:pPr>
              <w:spacing w:after="480"/>
              <w:jc w:val="both"/>
            </w:pPr>
            <w:r>
              <w:t>Dividendes / Résultat Net</w:t>
            </w:r>
          </w:p>
        </w:tc>
        <w:tc>
          <w:tcPr>
            <w:tcW w:w="3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E36B1E" w14:textId="77777777" w:rsidR="000F28E1" w:rsidRDefault="00000000">
            <w:pPr>
              <w:spacing w:after="480"/>
              <w:jc w:val="both"/>
            </w:pPr>
            <w:r>
              <w:t>Mesure la durabilité et la discipline de la politique de dividende.</w:t>
            </w:r>
          </w:p>
        </w:tc>
        <w:tc>
          <w:tcPr>
            <w:tcW w:w="9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912FB9" w14:textId="77777777" w:rsidR="000F28E1" w:rsidRDefault="00000000">
            <w:pPr>
              <w:spacing w:after="480"/>
              <w:jc w:val="both"/>
            </w:pPr>
            <w:r>
              <w:rPr>
                <w:b/>
                <w:bCs/>
              </w:rPr>
              <w:t>+</w:t>
            </w:r>
          </w:p>
        </w:tc>
      </w:tr>
    </w:tbl>
    <w:p w14:paraId="389496F8" w14:textId="77777777" w:rsidR="000F28E1" w:rsidRDefault="000F28E1">
      <w:pPr>
        <w:jc w:val="both"/>
      </w:pPr>
    </w:p>
    <w:p w14:paraId="37707499" w14:textId="77777777" w:rsidR="000F28E1" w:rsidRDefault="000F28E1">
      <w:pPr>
        <w:jc w:val="both"/>
      </w:pPr>
    </w:p>
    <w:p w14:paraId="7035D683" w14:textId="77777777" w:rsidR="000F28E1" w:rsidRDefault="00000000">
      <w:pPr>
        <w:jc w:val="both"/>
        <w:rPr>
          <w:b/>
          <w:bCs/>
        </w:rPr>
      </w:pPr>
      <w:r>
        <w:rPr>
          <w:b/>
          <w:bCs/>
        </w:rPr>
        <w:t>Le Problème : Le manque de dynamisme</w:t>
      </w:r>
    </w:p>
    <w:p w14:paraId="5C7363FD" w14:textId="77777777" w:rsidR="000F28E1" w:rsidRDefault="00000000">
      <w:pPr>
        <w:jc w:val="both"/>
      </w:pPr>
      <w:r>
        <w:t>Les données fondamentales (Bilan, Compte de résultat) sont publiées avec un décalage temporel et ne changent qu'au rythme des trimestres.</w:t>
      </w:r>
    </w:p>
    <w:p w14:paraId="51CFB940" w14:textId="77777777" w:rsidR="000F28E1" w:rsidRDefault="00000000">
      <w:pPr>
        <w:numPr>
          <w:ilvl w:val="0"/>
          <w:numId w:val="5"/>
        </w:numPr>
        <w:jc w:val="both"/>
      </w:pPr>
      <w:r>
        <w:rPr>
          <w:b/>
          <w:bCs/>
        </w:rPr>
        <w:t>Risque</w:t>
      </w:r>
      <w:r>
        <w:t xml:space="preserve"> : Le signal peut être "périmé" si le prix de l'action chute brutalement suite à une actualité récente, alors que les chiffres comptables sont encore excellents.</w:t>
      </w:r>
    </w:p>
    <w:p w14:paraId="2902AC03" w14:textId="77777777" w:rsidR="000F28E1" w:rsidRDefault="00000000">
      <w:pPr>
        <w:numPr>
          <w:ilvl w:val="0"/>
          <w:numId w:val="5"/>
        </w:numPr>
        <w:jc w:val="both"/>
      </w:pPr>
      <w:r>
        <w:rPr>
          <w:b/>
          <w:bCs/>
        </w:rPr>
        <w:t>Gestion active</w:t>
      </w:r>
      <w:r>
        <w:t xml:space="preserve"> : Pour un script main.py quotidien, il faut des indicateurs qui évoluent plus régulièrement. </w:t>
      </w:r>
    </w:p>
    <w:p w14:paraId="668DA7CF" w14:textId="77777777" w:rsidR="000F28E1" w:rsidRDefault="000F28E1">
      <w:pPr>
        <w:jc w:val="both"/>
        <w:rPr>
          <w:highlight w:val="yellow"/>
        </w:rPr>
      </w:pPr>
    </w:p>
    <w:p w14:paraId="636B9D4B" w14:textId="77777777" w:rsidR="000F28E1" w:rsidRDefault="00000000">
      <w:pPr>
        <w:jc w:val="both"/>
        <w:rPr>
          <w:i/>
          <w:iCs/>
        </w:rPr>
      </w:pPr>
      <w:r>
        <w:t xml:space="preserve">Pour pallier ce problème, nous avons donc choisi d’intégrer d’autres indicateurs, donc la mise à jour est plus régulière / quotidienne :  </w:t>
      </w:r>
    </w:p>
    <w:p w14:paraId="327E3212" w14:textId="77777777" w:rsidR="000F28E1" w:rsidRDefault="000F28E1">
      <w:pPr>
        <w:jc w:val="both"/>
      </w:pPr>
    </w:p>
    <w:p w14:paraId="2E539EA1" w14:textId="77777777" w:rsidR="000F28E1" w:rsidRDefault="00000000">
      <w:pPr>
        <w:jc w:val="both"/>
      </w:pPr>
      <w:r>
        <w:rPr>
          <w:b/>
          <w:bCs/>
        </w:rPr>
        <w:t xml:space="preserve">La Persistance des Tendances (l’Exposant de Hurst) : </w:t>
      </w:r>
    </w:p>
    <w:p w14:paraId="58F941E8" w14:textId="77777777" w:rsidR="000F28E1" w:rsidRDefault="00000000">
      <w:pPr>
        <w:jc w:val="both"/>
      </w:pPr>
      <w:r>
        <w:rPr>
          <w:rFonts w:ascii="Arial Unicode MS" w:eastAsia="Arial Unicode MS" w:hAnsi="Arial Unicode MS" w:cs="Arial Unicode MS"/>
        </w:rPr>
        <w:t>En mesurant la mémoire à long terme des séries temporelles, nous identifions les 'Compounders' (actions dont la croissance est persistante, H&gt;0.5) et les distinguons des titres purement erratiques ou à retour à la moyenne violent (H≤0.5).</w:t>
      </w:r>
    </w:p>
    <w:p w14:paraId="6D623CB1" w14:textId="77777777" w:rsidR="000F28E1" w:rsidRDefault="00000000">
      <w:pPr>
        <w:jc w:val="both"/>
        <w:rPr>
          <w:i/>
          <w:iCs/>
        </w:rPr>
      </w:pPr>
      <w:r>
        <w:rPr>
          <w:i/>
          <w:iCs/>
        </w:rPr>
        <w:t>Référence : Benoit Mandelbrot (1963), "The Variation of Certain Speculative Prices". (Le père de la géométrie fractale).</w:t>
      </w:r>
    </w:p>
    <w:p w14:paraId="6CBF4337" w14:textId="77777777" w:rsidR="000F28E1" w:rsidRDefault="00000000">
      <w:pPr>
        <w:jc w:val="both"/>
        <w:rPr>
          <w:i/>
          <w:iCs/>
        </w:rPr>
      </w:pPr>
      <w:hyperlink r:id="rId5">
        <w:r>
          <w:rPr>
            <w:i/>
            <w:iCs/>
            <w:color w:val="1155CC"/>
            <w:u w:val="single"/>
          </w:rPr>
          <w:t>https://web.williams.edu/Mathematics/sjmiller/public_html/341Fa09/econ/Mandelbroit_VariationCertainSpeculativePrices.pdf</w:t>
        </w:r>
      </w:hyperlink>
    </w:p>
    <w:p w14:paraId="00828AFF" w14:textId="77777777" w:rsidR="000F28E1" w:rsidRDefault="00000000">
      <w:pPr>
        <w:jc w:val="both"/>
        <w:rPr>
          <w:i/>
          <w:iCs/>
        </w:rPr>
      </w:pPr>
      <w:r>
        <w:rPr>
          <w:i/>
          <w:iCs/>
        </w:rPr>
        <w:t>Argument : La persistance (H&gt;0.5) indique un processus de "mémoire longue". Dans le cadre de la qualité, cela prouve que la performance ne vient pas de la chance (bruit), mais d'un avantage compétitif durable (Moat) qui se traduit graphiquement par une tendance fractale stable.</w:t>
      </w:r>
    </w:p>
    <w:p w14:paraId="2B1B0F69" w14:textId="77777777" w:rsidR="000F28E1" w:rsidRDefault="00000000">
      <w:pPr>
        <w:jc w:val="both"/>
        <w:rPr>
          <w:i/>
          <w:iCs/>
        </w:rPr>
      </w:pPr>
      <w:r>
        <w:rPr>
          <w:rFonts w:ascii="Arial Unicode MS" w:eastAsia="Arial Unicode MS" w:hAnsi="Arial Unicode MS" w:cs="Arial Unicode MS"/>
          <w:i/>
          <w:iCs/>
        </w:rPr>
        <w:t xml:space="preserve">→ limites / faiblesses : Risque d'overtrading (changements de signaux trop fréquents) + c'est très sensible à la "fenêtre" de temps choisie. Un Hurst calculé sur 100 jours peut dire "Tendance", et sur 150 jours dire "Retour à la moyenne". </w:t>
      </w:r>
    </w:p>
    <w:p w14:paraId="482B0085" w14:textId="77777777" w:rsidR="000F28E1" w:rsidRDefault="000F28E1">
      <w:pPr>
        <w:jc w:val="both"/>
      </w:pPr>
    </w:p>
    <w:p w14:paraId="34BFB756" w14:textId="77777777" w:rsidR="000F28E1" w:rsidRDefault="000F28E1">
      <w:pPr>
        <w:jc w:val="both"/>
      </w:pPr>
    </w:p>
    <w:p w14:paraId="39E92546" w14:textId="77777777" w:rsidR="000F28E1" w:rsidRDefault="00000000">
      <w:pPr>
        <w:jc w:val="both"/>
        <w:rPr>
          <w:b/>
          <w:bCs/>
        </w:rPr>
      </w:pPr>
      <w:r>
        <w:rPr>
          <w:b/>
          <w:bCs/>
        </w:rPr>
        <w:t>Le Risque de Crédit Implicite (Bêta High-Yield) :</w:t>
      </w:r>
    </w:p>
    <w:p w14:paraId="4047CFC3" w14:textId="77777777" w:rsidR="000F28E1" w:rsidRDefault="00000000">
      <w:pPr>
        <w:jc w:val="both"/>
        <w:rPr>
          <w:color w:val="1F1F1F"/>
          <w:highlight w:val="white"/>
        </w:rPr>
      </w:pPr>
      <w:r>
        <w:rPr>
          <w:color w:val="1F1F1F"/>
          <w:highlight w:val="white"/>
        </w:rPr>
        <w:t>Utiliser les ETF comme proxy du marché obligataire.</w:t>
      </w:r>
    </w:p>
    <w:p w14:paraId="1DFA43CF" w14:textId="77777777" w:rsidR="000F28E1" w:rsidRDefault="00000000">
      <w:pPr>
        <w:jc w:val="both"/>
        <w:rPr>
          <w:color w:val="1F1F1F"/>
          <w:highlight w:val="white"/>
        </w:rPr>
      </w:pPr>
      <w:r>
        <w:rPr>
          <w:color w:val="1F1F1F"/>
          <w:highlight w:val="white"/>
        </w:rPr>
        <w:t>En l'absence de données CDS, nous mesurons la corrélation d'un titre avec l'ETF HYG (High Yield). Un titre de qualité doit montrer une indépendance vis-à-vis du marché de la dette risquée."</w:t>
      </w:r>
    </w:p>
    <w:p w14:paraId="2508191E" w14:textId="77777777" w:rsidR="000F28E1" w:rsidRDefault="00000000">
      <w:pPr>
        <w:jc w:val="both"/>
        <w:rPr>
          <w:i/>
          <w:iCs/>
          <w:color w:val="1F1F1F"/>
          <w:highlight w:val="white"/>
        </w:rPr>
      </w:pPr>
      <w:r>
        <w:rPr>
          <w:i/>
          <w:iCs/>
          <w:color w:val="1F1F1F"/>
          <w:highlight w:val="white"/>
        </w:rPr>
        <w:t>Référence : Merton (1974), "On the Pricing of Corporate Debt: The Risk Structure of Interest Rates".</w:t>
      </w:r>
    </w:p>
    <w:p w14:paraId="42B86139" w14:textId="77777777" w:rsidR="000F28E1" w:rsidRDefault="00000000">
      <w:pPr>
        <w:jc w:val="both"/>
        <w:rPr>
          <w:i/>
          <w:iCs/>
          <w:color w:val="1F1F1F"/>
          <w:highlight w:val="white"/>
        </w:rPr>
      </w:pPr>
      <w:hyperlink r:id="rId6">
        <w:r>
          <w:rPr>
            <w:i/>
            <w:iCs/>
            <w:color w:val="1155CC"/>
            <w:highlight w:val="white"/>
            <w:u w:val="single"/>
          </w:rPr>
          <w:t>https://onlinelibrary.wiley.com/doi/10.1111/j.1540-6261.1974.tb03058.x</w:t>
        </w:r>
      </w:hyperlink>
    </w:p>
    <w:p w14:paraId="3676B2EE" w14:textId="77777777" w:rsidR="000F28E1" w:rsidRDefault="00000000">
      <w:pPr>
        <w:jc w:val="both"/>
        <w:rPr>
          <w:i/>
          <w:iCs/>
          <w:color w:val="1F1F1F"/>
          <w:highlight w:val="white"/>
        </w:rPr>
      </w:pPr>
      <w:r>
        <w:rPr>
          <w:i/>
          <w:iCs/>
          <w:color w:val="1F1F1F"/>
          <w:highlight w:val="white"/>
        </w:rPr>
        <w:t>Argument : Le modèle de Merton lie la valeur de l'action à la probabilité de défaut de la dette. Si une action est très corrélée au HYG (High Yield), cela signifie que son "Equity" se comporte comme de la "Dette risquée".</w:t>
      </w:r>
    </w:p>
    <w:p w14:paraId="02BB2B88" w14:textId="77777777" w:rsidR="000F28E1" w:rsidRDefault="000F28E1">
      <w:pPr>
        <w:jc w:val="both"/>
        <w:rPr>
          <w:color w:val="1F1F1F"/>
          <w:highlight w:val="white"/>
        </w:rPr>
      </w:pPr>
    </w:p>
    <w:p w14:paraId="6181B66E" w14:textId="77777777" w:rsidR="000F28E1" w:rsidRDefault="00000000">
      <w:pPr>
        <w:jc w:val="both"/>
        <w:rPr>
          <w:b/>
          <w:bCs/>
          <w:color w:val="1F1F1F"/>
          <w:highlight w:val="white"/>
        </w:rPr>
      </w:pPr>
      <w:r>
        <w:rPr>
          <w:b/>
          <w:bCs/>
          <w:color w:val="1F1F1F"/>
          <w:highlight w:val="white"/>
        </w:rPr>
        <w:t xml:space="preserve">D’autres indicateurs ont été envisagés (pistes de reflexions): </w:t>
      </w:r>
    </w:p>
    <w:p w14:paraId="48407261" w14:textId="77777777" w:rsidR="000F28E1" w:rsidRDefault="000F28E1">
      <w:pPr>
        <w:jc w:val="both"/>
        <w:rPr>
          <w:b/>
          <w:bCs/>
        </w:rPr>
      </w:pPr>
    </w:p>
    <w:p w14:paraId="6B70CA9A" w14:textId="77777777" w:rsidR="000F28E1" w:rsidRDefault="000F28E1">
      <w:pPr>
        <w:jc w:val="both"/>
        <w:rPr>
          <w:b/>
          <w:bCs/>
        </w:rPr>
      </w:pPr>
    </w:p>
    <w:p w14:paraId="61196E34" w14:textId="77777777" w:rsidR="000F28E1" w:rsidRDefault="00000000">
      <w:pPr>
        <w:jc w:val="both"/>
        <w:rPr>
          <w:b/>
          <w:bCs/>
        </w:rPr>
      </w:pPr>
      <w:r>
        <w:rPr>
          <w:b/>
          <w:bCs/>
        </w:rPr>
        <w:t>Le Sentiment Spéculatif (via Google Trends) :</w:t>
      </w:r>
    </w:p>
    <w:p w14:paraId="27A5AF43" w14:textId="77777777" w:rsidR="000F28E1" w:rsidRDefault="00000000">
      <w:pPr>
        <w:jc w:val="both"/>
      </w:pPr>
      <w:r>
        <w:t>Logique : Un pic soudain de recherches sur un ticker est souvent corrélé à une activité spéculative "Retail" (Junk). Les entreprises de qualité ont un volume de recherche stable ou lié aux produits, pas au ticker boursier.</w:t>
      </w:r>
    </w:p>
    <w:p w14:paraId="1A41662C" w14:textId="77777777" w:rsidR="000F28E1" w:rsidRDefault="00000000">
      <w:pPr>
        <w:jc w:val="both"/>
        <w:rPr>
          <w:i/>
          <w:iCs/>
        </w:rPr>
      </w:pPr>
      <w:r>
        <w:rPr>
          <w:i/>
          <w:iCs/>
        </w:rPr>
        <w:t>Référence : Preis, Moat, and Stanley (2013), "Quantifying Trading Behavior in Financial Markets Using Google Trends".</w:t>
      </w:r>
    </w:p>
    <w:p w14:paraId="59F96EBD" w14:textId="77777777" w:rsidR="000F28E1" w:rsidRDefault="00000000">
      <w:pPr>
        <w:jc w:val="both"/>
        <w:rPr>
          <w:i/>
          <w:iCs/>
        </w:rPr>
      </w:pPr>
      <w:hyperlink r:id="rId7">
        <w:r>
          <w:rPr>
            <w:i/>
            <w:iCs/>
            <w:color w:val="1155CC"/>
            <w:u w:val="single"/>
          </w:rPr>
          <w:t>https://www.nature.com/articles/srep01684</w:t>
        </w:r>
      </w:hyperlink>
    </w:p>
    <w:p w14:paraId="511A30CF" w14:textId="77777777" w:rsidR="000F28E1" w:rsidRDefault="00000000">
      <w:pPr>
        <w:jc w:val="both"/>
        <w:rPr>
          <w:b/>
          <w:bCs/>
        </w:rPr>
      </w:pPr>
      <w:r>
        <w:rPr>
          <w:i/>
          <w:iCs/>
        </w:rPr>
        <w:t>Argument : Ce papier prouve que les augmentations de volume de recherche sur des termes financiers précèdent souvent des baisses de marché ou une volatilité accrue. Cela justifie ton utilisation de Trends comme un filtre de risque.</w:t>
      </w:r>
    </w:p>
    <w:p w14:paraId="74CF6178" w14:textId="77777777" w:rsidR="000F28E1" w:rsidRDefault="000F28E1">
      <w:pPr>
        <w:jc w:val="both"/>
        <w:rPr>
          <w:color w:val="1F1F1F"/>
          <w:highlight w:val="white"/>
        </w:rPr>
      </w:pPr>
    </w:p>
    <w:p w14:paraId="52DB247D" w14:textId="77777777" w:rsidR="000F28E1" w:rsidRDefault="00000000">
      <w:pPr>
        <w:jc w:val="both"/>
        <w:rPr>
          <w:color w:val="1F1F1F"/>
          <w:highlight w:val="white"/>
        </w:rPr>
      </w:pPr>
      <w:r>
        <w:rPr>
          <w:color w:val="1F1F1F"/>
          <w:highlight w:val="white"/>
        </w:rPr>
        <w:t xml:space="preserve">A la suite de problèmes d’implémentation de Google Trends, adaptation de l’indicateur, création de deux nouveaux indicateurs (qui n’ontfinalment pas ete ajoutes au modele; voir explications ): </w:t>
      </w:r>
    </w:p>
    <w:p w14:paraId="3C13BED4" w14:textId="77777777" w:rsidR="000F28E1" w:rsidRDefault="000F28E1">
      <w:pPr>
        <w:jc w:val="both"/>
        <w:rPr>
          <w:color w:val="1F1F1F"/>
          <w:highlight w:val="white"/>
        </w:rPr>
      </w:pPr>
    </w:p>
    <w:p w14:paraId="5C8CA8AD" w14:textId="77777777" w:rsidR="000F28E1" w:rsidRDefault="00000000">
      <w:pPr>
        <w:jc w:val="both"/>
        <w:rPr>
          <w:b/>
          <w:bCs/>
          <w:color w:val="1F1F1F"/>
          <w:highlight w:val="white"/>
        </w:rPr>
      </w:pPr>
      <w:r>
        <w:rPr>
          <w:b/>
          <w:bCs/>
          <w:color w:val="1F1F1F"/>
          <w:highlight w:val="white"/>
        </w:rPr>
        <w:t>L'Indicateur de Volume Relatif (RVI)</w:t>
      </w:r>
    </w:p>
    <w:p w14:paraId="1B2FD0A3" w14:textId="77777777" w:rsidR="000F28E1" w:rsidRDefault="00000000">
      <w:pPr>
        <w:jc w:val="both"/>
        <w:rPr>
          <w:color w:val="1F1F1F"/>
          <w:highlight w:val="white"/>
        </w:rPr>
      </w:pPr>
      <w:r>
        <w:rPr>
          <w:color w:val="1F1F1F"/>
          <w:highlight w:val="white"/>
        </w:rPr>
        <w:t>Objectif : Détecter les anomalies d'activité. C'est une alternative aux "Google Trends" car, en bourse, un pic de volume précède souvent un mouvement de prix majeur.</w:t>
      </w:r>
    </w:p>
    <w:p w14:paraId="1463C440" w14:textId="77777777" w:rsidR="000F28E1" w:rsidRDefault="00000000">
      <w:pPr>
        <w:jc w:val="both"/>
        <w:rPr>
          <w:color w:val="1F1F1F"/>
          <w:highlight w:val="white"/>
        </w:rPr>
      </w:pPr>
      <w:r>
        <w:rPr>
          <w:color w:val="1F1F1F"/>
          <w:highlight w:val="white"/>
        </w:rPr>
        <w:lastRenderedPageBreak/>
        <w:t>Comment il fonctionne : Il télécharge un an d'historique de volume. Au lieu de simplement regarder le volume brut (qui est difficile à interpréter), il calcule la position du volume du jour entre le minimum annuel (-1) et le maximum annuel (1). Le score est centré sur la moyenne.</w:t>
      </w:r>
    </w:p>
    <w:p w14:paraId="526C8638" w14:textId="77777777" w:rsidR="000F28E1" w:rsidRDefault="00000000">
      <w:pPr>
        <w:numPr>
          <w:ilvl w:val="0"/>
          <w:numId w:val="6"/>
        </w:numPr>
        <w:jc w:val="both"/>
        <w:rPr>
          <w:color w:val="1F1F1F"/>
          <w:highlight w:val="white"/>
        </w:rPr>
      </w:pPr>
      <w:r>
        <w:rPr>
          <w:color w:val="1F1F1F"/>
          <w:highlight w:val="white"/>
        </w:rPr>
        <w:t>Si le score est proche de 1 : Le volume est exceptionnellement élevé (intérêt massif des investisseurs).</w:t>
      </w:r>
    </w:p>
    <w:p w14:paraId="2865EA50" w14:textId="77777777" w:rsidR="000F28E1" w:rsidRDefault="00000000">
      <w:pPr>
        <w:numPr>
          <w:ilvl w:val="0"/>
          <w:numId w:val="6"/>
        </w:numPr>
        <w:jc w:val="both"/>
        <w:rPr>
          <w:color w:val="1F1F1F"/>
          <w:highlight w:val="white"/>
        </w:rPr>
      </w:pPr>
      <w:r>
        <w:rPr>
          <w:color w:val="1F1F1F"/>
          <w:highlight w:val="white"/>
        </w:rPr>
        <w:t>Si le score est proche de 0 : L'activité est normale.</w:t>
      </w:r>
    </w:p>
    <w:p w14:paraId="68DABBFA" w14:textId="77777777" w:rsidR="000F28E1" w:rsidRDefault="00000000">
      <w:pPr>
        <w:numPr>
          <w:ilvl w:val="0"/>
          <w:numId w:val="6"/>
        </w:numPr>
        <w:jc w:val="both"/>
        <w:rPr>
          <w:color w:val="1F1F1F"/>
          <w:highlight w:val="white"/>
        </w:rPr>
      </w:pPr>
      <w:r>
        <w:rPr>
          <w:color w:val="1F1F1F"/>
          <w:highlight w:val="white"/>
        </w:rPr>
        <w:t>Si le score est négatif : Le marché est "mort" ou peu liquide sur ce titre.</w:t>
      </w:r>
    </w:p>
    <w:p w14:paraId="2A6A5983" w14:textId="77777777" w:rsidR="000F28E1" w:rsidRDefault="000F28E1">
      <w:pPr>
        <w:jc w:val="both"/>
        <w:rPr>
          <w:color w:val="1F1F1F"/>
          <w:highlight w:val="white"/>
        </w:rPr>
      </w:pPr>
    </w:p>
    <w:p w14:paraId="4CF8BB73" w14:textId="77777777" w:rsidR="000F28E1" w:rsidRDefault="00000000">
      <w:pPr>
        <w:jc w:val="both"/>
        <w:rPr>
          <w:b/>
          <w:bCs/>
          <w:color w:val="1F1F1F"/>
          <w:highlight w:val="white"/>
        </w:rPr>
      </w:pPr>
      <w:r>
        <w:rPr>
          <w:b/>
          <w:bCs/>
          <w:color w:val="1F1F1F"/>
          <w:highlight w:val="white"/>
        </w:rPr>
        <w:t>Le Score Global de Marché (Synthèse Directionnelle)</w:t>
      </w:r>
    </w:p>
    <w:p w14:paraId="7D3C01D7" w14:textId="77777777" w:rsidR="000F28E1" w:rsidRDefault="00000000">
      <w:pPr>
        <w:jc w:val="both"/>
        <w:rPr>
          <w:color w:val="1F1F1F"/>
          <w:highlight w:val="white"/>
        </w:rPr>
      </w:pPr>
      <w:r>
        <w:rPr>
          <w:color w:val="1F1F1F"/>
          <w:highlight w:val="white"/>
        </w:rPr>
        <w:t>Objectif : Créer une "note de conviction" unique pour savoir si un titre est dans une phase d'achat forte, de vente, ou de stagnation.</w:t>
      </w:r>
    </w:p>
    <w:p w14:paraId="021F97DC" w14:textId="77777777" w:rsidR="000F28E1" w:rsidRDefault="00000000">
      <w:pPr>
        <w:jc w:val="both"/>
        <w:rPr>
          <w:color w:val="1F1F1F"/>
          <w:highlight w:val="white"/>
        </w:rPr>
      </w:pPr>
      <w:r>
        <w:rPr>
          <w:color w:val="1F1F1F"/>
          <w:highlight w:val="white"/>
        </w:rPr>
        <w:t>Les 3 piliers du calcul :</w:t>
      </w:r>
    </w:p>
    <w:p w14:paraId="1111850D" w14:textId="77777777" w:rsidR="000F28E1" w:rsidRDefault="00000000">
      <w:pPr>
        <w:jc w:val="both"/>
        <w:rPr>
          <w:color w:val="1F1F1F"/>
          <w:highlight w:val="white"/>
        </w:rPr>
      </w:pPr>
      <w:r>
        <w:rPr>
          <w:color w:val="1F1F1F"/>
          <w:highlight w:val="white"/>
        </w:rPr>
        <w:t xml:space="preserve">Pour obtenir le Score Global, le code combine trois métriques mathématiques via une fonction </w:t>
      </w:r>
      <w:r>
        <w:rPr>
          <w:i/>
          <w:iCs/>
          <w:color w:val="1F1F1F"/>
          <w:highlight w:val="white"/>
        </w:rPr>
        <w:t>tanh</w:t>
      </w:r>
      <w:r>
        <w:rPr>
          <w:color w:val="1F1F1F"/>
          <w:highlight w:val="white"/>
        </w:rPr>
        <w:t xml:space="preserve"> (qui écrase les valeurs entre -1 et 1 pour les rendre lisibles) :</w:t>
      </w:r>
    </w:p>
    <w:p w14:paraId="682A0B0E" w14:textId="77777777" w:rsidR="000F28E1" w:rsidRDefault="00000000">
      <w:pPr>
        <w:jc w:val="both"/>
        <w:rPr>
          <w:color w:val="1F1F1F"/>
          <w:highlight w:val="white"/>
        </w:rPr>
      </w:pPr>
      <w:r>
        <w:rPr>
          <w:color w:val="1F1F1F"/>
          <w:highlight w:val="white"/>
        </w:rPr>
        <w:t>Le Score Hype (20% du poids) : Basé sur le Z-score du volume. Il mesure l'excitation statistique. Si le volume explose par rapport à l'écart-type habituel, ce score grimpe.</w:t>
      </w:r>
    </w:p>
    <w:p w14:paraId="2FF705EF" w14:textId="77777777" w:rsidR="000F28E1" w:rsidRDefault="00000000">
      <w:pPr>
        <w:jc w:val="both"/>
        <w:rPr>
          <w:color w:val="1F1F1F"/>
          <w:highlight w:val="white"/>
        </w:rPr>
      </w:pPr>
      <w:r>
        <w:rPr>
          <w:color w:val="1F1F1F"/>
          <w:highlight w:val="white"/>
        </w:rPr>
        <w:t>Le Score Pression (40% du poids) : Regarde la variation du prix immédiate. Si le prix monte fortement avec du volume, la pression acheteuse est jugée élevée.</w:t>
      </w:r>
    </w:p>
    <w:p w14:paraId="32AB603E" w14:textId="77777777" w:rsidR="000F28E1" w:rsidRDefault="00000000">
      <w:pPr>
        <w:jc w:val="both"/>
        <w:rPr>
          <w:color w:val="1F1F1F"/>
          <w:highlight w:val="white"/>
        </w:rPr>
      </w:pPr>
      <w:r>
        <w:rPr>
          <w:color w:val="1F1F1F"/>
          <w:highlight w:val="white"/>
        </w:rPr>
        <w:t>Le Score Tendance (40% du poids) : Compare le prix actuel à la Moyenne Mobile 50 jours (MA50).</w:t>
      </w:r>
    </w:p>
    <w:p w14:paraId="7397E9C3" w14:textId="77777777" w:rsidR="000F28E1" w:rsidRDefault="00000000">
      <w:pPr>
        <w:numPr>
          <w:ilvl w:val="0"/>
          <w:numId w:val="10"/>
        </w:numPr>
        <w:jc w:val="both"/>
        <w:rPr>
          <w:color w:val="1F1F1F"/>
          <w:highlight w:val="white"/>
        </w:rPr>
      </w:pPr>
      <w:r>
        <w:rPr>
          <w:color w:val="1F1F1F"/>
          <w:highlight w:val="white"/>
        </w:rPr>
        <w:t>Prix &gt; MA50 = Tendance Haussière</w:t>
      </w:r>
    </w:p>
    <w:p w14:paraId="25EFC35F" w14:textId="77777777" w:rsidR="000F28E1" w:rsidRDefault="00000000">
      <w:pPr>
        <w:numPr>
          <w:ilvl w:val="0"/>
          <w:numId w:val="10"/>
        </w:numPr>
        <w:jc w:val="both"/>
        <w:rPr>
          <w:color w:val="1F1F1F"/>
          <w:highlight w:val="white"/>
        </w:rPr>
      </w:pPr>
      <w:r>
        <w:rPr>
          <w:color w:val="1F1F1F"/>
          <w:highlight w:val="white"/>
        </w:rPr>
        <w:t xml:space="preserve">Prix &lt; MA50 = Tendance Baissière </w:t>
      </w:r>
    </w:p>
    <w:p w14:paraId="7A26CBC8" w14:textId="77777777" w:rsidR="000F28E1" w:rsidRDefault="00000000">
      <w:pPr>
        <w:jc w:val="both"/>
        <w:rPr>
          <w:color w:val="1F1F1F"/>
          <w:highlight w:val="white"/>
        </w:rPr>
      </w:pPr>
      <w:r>
        <w:rPr>
          <w:color w:val="1F1F1F"/>
          <w:highlight w:val="white"/>
        </w:rPr>
        <w:t>La Formule Finale : &gt; Score=(Hype×0.2)+(Pression×0.4)+(Tendance×0.4)</w:t>
      </w:r>
    </w:p>
    <w:p w14:paraId="3D64A14E" w14:textId="77777777" w:rsidR="000F28E1" w:rsidRDefault="000F28E1">
      <w:pPr>
        <w:jc w:val="both"/>
        <w:rPr>
          <w:color w:val="1F1F1F"/>
          <w:highlight w:val="white"/>
        </w:rPr>
      </w:pPr>
    </w:p>
    <w:p w14:paraId="588D0BAB" w14:textId="77777777" w:rsidR="000F28E1" w:rsidRDefault="000F28E1">
      <w:pPr>
        <w:jc w:val="both"/>
        <w:rPr>
          <w:color w:val="1F1F1F"/>
          <w:highlight w:val="white"/>
        </w:rPr>
      </w:pPr>
    </w:p>
    <w:p w14:paraId="36059343" w14:textId="77777777" w:rsidR="000F28E1" w:rsidRDefault="000F28E1">
      <w:pPr>
        <w:rPr>
          <w:color w:val="1F1F1F"/>
          <w:highlight w:val="white"/>
        </w:rPr>
      </w:pPr>
    </w:p>
    <w:p w14:paraId="0EEF39A6" w14:textId="77777777" w:rsidR="000F28E1" w:rsidRDefault="000F28E1">
      <w:pPr>
        <w:rPr>
          <w:color w:val="1F1F1F"/>
          <w:highlight w:val="white"/>
        </w:rPr>
      </w:pPr>
    </w:p>
    <w:tbl>
      <w:tblPr>
        <w:tblStyle w:val="a0"/>
        <w:tblW w:w="9045" w:type="dxa"/>
        <w:tblInd w:w="0" w:type="dxa"/>
        <w:tblLayout w:type="fixed"/>
        <w:tblLook w:val="0600" w:firstRow="0" w:lastRow="0" w:firstColumn="0" w:lastColumn="0" w:noHBand="1" w:noVBand="1"/>
      </w:tblPr>
      <w:tblGrid>
        <w:gridCol w:w="1560"/>
        <w:gridCol w:w="2415"/>
        <w:gridCol w:w="1830"/>
        <w:gridCol w:w="3240"/>
      </w:tblGrid>
      <w:tr w:rsidR="000F28E1" w14:paraId="05EAEE3B" w14:textId="77777777">
        <w:trPr>
          <w:trHeight w:val="80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8353A6" w14:textId="77777777" w:rsidR="000F28E1" w:rsidRDefault="00000000">
            <w:pPr>
              <w:spacing w:after="480"/>
              <w:rPr>
                <w:highlight w:val="white"/>
              </w:rPr>
            </w:pPr>
            <w:r>
              <w:rPr>
                <w:b/>
                <w:bCs/>
                <w:highlight w:val="white"/>
              </w:rPr>
              <w:t>Indicateur</w:t>
            </w:r>
          </w:p>
        </w:tc>
        <w:tc>
          <w:tcPr>
            <w:tcW w:w="2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2CBF93" w14:textId="77777777" w:rsidR="000F28E1" w:rsidRDefault="00000000">
            <w:pPr>
              <w:spacing w:after="480"/>
              <w:rPr>
                <w:highlight w:val="white"/>
              </w:rPr>
            </w:pPr>
            <w:r>
              <w:rPr>
                <w:b/>
                <w:bCs/>
                <w:highlight w:val="white"/>
              </w:rPr>
              <w:t>Logique d'Investissement</w:t>
            </w:r>
          </w:p>
        </w:tc>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EBE540D" w14:textId="77777777" w:rsidR="000F28E1" w:rsidRDefault="00000000">
            <w:pPr>
              <w:spacing w:after="480"/>
              <w:rPr>
                <w:highlight w:val="white"/>
              </w:rPr>
            </w:pPr>
            <w:r>
              <w:rPr>
                <w:b/>
                <w:bCs/>
                <w:highlight w:val="white"/>
              </w:rPr>
              <w:t>Référence Académique</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AB550E" w14:textId="77777777" w:rsidR="000F28E1" w:rsidRDefault="00000000">
            <w:pPr>
              <w:spacing w:after="480"/>
              <w:rPr>
                <w:highlight w:val="white"/>
              </w:rPr>
            </w:pPr>
            <w:r>
              <w:rPr>
                <w:b/>
                <w:bCs/>
                <w:highlight w:val="white"/>
              </w:rPr>
              <w:t>Implémentation dans main.py</w:t>
            </w:r>
          </w:p>
        </w:tc>
      </w:tr>
      <w:tr w:rsidR="000F28E1" w14:paraId="47AFEF93" w14:textId="77777777">
        <w:trPr>
          <w:trHeight w:val="242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C1EF61" w14:textId="77777777" w:rsidR="000F28E1" w:rsidRDefault="00000000">
            <w:pPr>
              <w:spacing w:after="480"/>
              <w:rPr>
                <w:highlight w:val="white"/>
              </w:rPr>
            </w:pPr>
            <w:r>
              <w:rPr>
                <w:b/>
                <w:bCs/>
                <w:highlight w:val="white"/>
              </w:rPr>
              <w:t>Short Interest Ratio</w:t>
            </w:r>
          </w:p>
        </w:tc>
        <w:tc>
          <w:tcPr>
            <w:tcW w:w="2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B091A94" w14:textId="77777777" w:rsidR="000F28E1" w:rsidRDefault="00000000">
            <w:pPr>
              <w:spacing w:after="480"/>
              <w:rPr>
                <w:highlight w:val="white"/>
              </w:rPr>
            </w:pPr>
            <w:r>
              <w:rPr>
                <w:highlight w:val="white"/>
              </w:rPr>
              <w:t>Éviter les actions massivement pariées à la baisse par les institutionnels.</w:t>
            </w:r>
          </w:p>
        </w:tc>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4D7E67" w14:textId="77777777" w:rsidR="000F28E1" w:rsidRDefault="00000000">
            <w:pPr>
              <w:spacing w:after="480"/>
              <w:rPr>
                <w:highlight w:val="white"/>
              </w:rPr>
            </w:pPr>
            <w:r>
              <w:rPr>
                <w:highlight w:val="white"/>
              </w:rPr>
              <w:t>-</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F6F8B4" w14:textId="77777777" w:rsidR="000F28E1" w:rsidRDefault="00000000">
            <w:pPr>
              <w:spacing w:after="480"/>
              <w:rPr>
                <w:highlight w:val="white"/>
              </w:rPr>
            </w:pPr>
            <w:r>
              <w:rPr>
                <w:b/>
                <w:bCs/>
                <w:highlight w:val="white"/>
              </w:rPr>
              <w:t>Filtre d'Exclusion :</w:t>
            </w:r>
            <w:r>
              <w:rPr>
                <w:highlight w:val="white"/>
              </w:rPr>
              <w:t xml:space="preserve"> Si &gt; 15% du flottant est shorté, le ticker est banni de l'univers.</w:t>
            </w:r>
          </w:p>
        </w:tc>
      </w:tr>
      <w:tr w:rsidR="000F28E1" w14:paraId="303D3733" w14:textId="77777777">
        <w:trPr>
          <w:trHeight w:val="215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86C09B" w14:textId="77777777" w:rsidR="000F28E1" w:rsidRDefault="00000000">
            <w:pPr>
              <w:spacing w:after="480"/>
              <w:rPr>
                <w:highlight w:val="white"/>
              </w:rPr>
            </w:pPr>
            <w:r>
              <w:rPr>
                <w:b/>
                <w:bCs/>
                <w:highlight w:val="white"/>
              </w:rPr>
              <w:lastRenderedPageBreak/>
              <w:t>Lottery Ticket (MAXRET)</w:t>
            </w:r>
          </w:p>
        </w:tc>
        <w:tc>
          <w:tcPr>
            <w:tcW w:w="2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97CADC" w14:textId="77777777" w:rsidR="000F28E1" w:rsidRDefault="00000000">
            <w:pPr>
              <w:spacing w:after="480"/>
              <w:rPr>
                <w:highlight w:val="white"/>
              </w:rPr>
            </w:pPr>
            <w:r>
              <w:rPr>
                <w:highlight w:val="white"/>
              </w:rPr>
              <w:t>Les actions ayant des hausses quotidiennes extrêmes sont spéculatives (Junk) et sous-performent.</w:t>
            </w:r>
          </w:p>
        </w:tc>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14E1784" w14:textId="77777777" w:rsidR="000F28E1" w:rsidRDefault="00000000">
            <w:pPr>
              <w:spacing w:after="480"/>
              <w:rPr>
                <w:highlight w:val="white"/>
              </w:rPr>
            </w:pPr>
            <w:r>
              <w:rPr>
                <w:highlight w:val="white"/>
              </w:rPr>
              <w:t>Bali, Cakici, &amp; Whitelaw (2011)</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E8E244" w14:textId="77777777" w:rsidR="000F28E1" w:rsidRDefault="00000000">
            <w:pPr>
              <w:spacing w:after="480"/>
              <w:rPr>
                <w:highlight w:val="white"/>
              </w:rPr>
            </w:pPr>
            <w:r>
              <w:rPr>
                <w:b/>
                <w:bCs/>
                <w:highlight w:val="white"/>
              </w:rPr>
              <w:t>Pénalité de Score :</w:t>
            </w:r>
            <w:r>
              <w:rPr>
                <w:highlight w:val="white"/>
              </w:rPr>
              <w:t xml:space="preserve"> Plus le rendement max sur 21 jours est élevé, plus le score "Safety" diminue.</w:t>
            </w:r>
          </w:p>
        </w:tc>
      </w:tr>
      <w:tr w:rsidR="000F28E1" w14:paraId="79BDF164" w14:textId="77777777">
        <w:trPr>
          <w:trHeight w:val="242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7B79F7" w14:textId="77777777" w:rsidR="000F28E1" w:rsidRDefault="00000000">
            <w:pPr>
              <w:spacing w:after="480"/>
              <w:rPr>
                <w:highlight w:val="white"/>
              </w:rPr>
            </w:pPr>
            <w:r>
              <w:rPr>
                <w:b/>
                <w:bCs/>
                <w:highlight w:val="white"/>
              </w:rPr>
              <w:t>Beneish M-Score</w:t>
            </w:r>
          </w:p>
        </w:tc>
        <w:tc>
          <w:tcPr>
            <w:tcW w:w="2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02DBCA" w14:textId="77777777" w:rsidR="000F28E1" w:rsidRDefault="00000000">
            <w:pPr>
              <w:spacing w:after="480"/>
              <w:rPr>
                <w:highlight w:val="white"/>
              </w:rPr>
            </w:pPr>
            <w:r>
              <w:rPr>
                <w:highlight w:val="white"/>
              </w:rPr>
              <w:t>Détecter les manipulations de profits avant qu'elles ne soient publiques.</w:t>
            </w:r>
          </w:p>
        </w:tc>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B68CCD" w14:textId="77777777" w:rsidR="000F28E1" w:rsidRDefault="00000000">
            <w:pPr>
              <w:spacing w:after="480"/>
              <w:rPr>
                <w:highlight w:val="white"/>
              </w:rPr>
            </w:pPr>
            <w:r>
              <w:rPr>
                <w:highlight w:val="white"/>
              </w:rPr>
              <w:t>Beneish (1999)</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448C0E" w14:textId="77777777" w:rsidR="000F28E1" w:rsidRDefault="00000000">
            <w:pPr>
              <w:spacing w:after="480"/>
              <w:rPr>
                <w:highlight w:val="white"/>
              </w:rPr>
            </w:pPr>
            <w:r>
              <w:rPr>
                <w:b/>
                <w:bCs/>
                <w:highlight w:val="white"/>
              </w:rPr>
              <w:t>Filtre Binaire :</w:t>
            </w:r>
            <w:r>
              <w:rPr>
                <w:highlight w:val="white"/>
              </w:rPr>
              <w:t xml:space="preserve"> Le score combine 8 ratios (croissance des ventes suspecte, dépréciation anormale, levier, etc.). Si M &gt; -1.78, l'action est marquée "Red Flag" et exclue du portefeuille Long.</w:t>
            </w:r>
          </w:p>
        </w:tc>
      </w:tr>
      <w:tr w:rsidR="000F28E1" w14:paraId="69CDF2F2" w14:textId="77777777">
        <w:trPr>
          <w:trHeight w:val="242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E2705C" w14:textId="77777777" w:rsidR="000F28E1" w:rsidRDefault="00000000">
            <w:pPr>
              <w:spacing w:after="480"/>
              <w:rPr>
                <w:highlight w:val="white"/>
              </w:rPr>
            </w:pPr>
            <w:r>
              <w:rPr>
                <w:b/>
                <w:bCs/>
                <w:highlight w:val="white"/>
              </w:rPr>
              <w:t>Google Trends</w:t>
            </w:r>
          </w:p>
        </w:tc>
        <w:tc>
          <w:tcPr>
            <w:tcW w:w="2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FD239B" w14:textId="77777777" w:rsidR="000F28E1" w:rsidRDefault="00000000">
            <w:pPr>
              <w:spacing w:after="480"/>
              <w:rPr>
                <w:highlight w:val="white"/>
              </w:rPr>
            </w:pPr>
            <w:r>
              <w:rPr>
                <w:highlight w:val="white"/>
              </w:rPr>
              <w:t>Un pic de recherche sur le ticker indique une bulle spéculative "retail".</w:t>
            </w:r>
          </w:p>
        </w:tc>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4BD544" w14:textId="77777777" w:rsidR="000F28E1" w:rsidRDefault="00000000">
            <w:pPr>
              <w:spacing w:after="480"/>
              <w:rPr>
                <w:highlight w:val="white"/>
              </w:rPr>
            </w:pPr>
            <w:r>
              <w:rPr>
                <w:highlight w:val="white"/>
              </w:rPr>
              <w:t>Preis, Moat, &amp; Stanley (2013)</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415104" w14:textId="77777777" w:rsidR="000F28E1" w:rsidRDefault="00000000">
            <w:pPr>
              <w:spacing w:after="480"/>
              <w:rPr>
                <w:highlight w:val="white"/>
              </w:rPr>
            </w:pPr>
            <w:r>
              <w:rPr>
                <w:b/>
                <w:bCs/>
                <w:highlight w:val="white"/>
              </w:rPr>
              <w:t>Filtre de Risque :</w:t>
            </w:r>
            <w:r>
              <w:rPr>
                <w:highlight w:val="white"/>
              </w:rPr>
              <w:t xml:space="preserve"> Sert de signal d'alerte pour réduire l'exposition en cas d'euphorie anormale.</w:t>
            </w:r>
          </w:p>
        </w:tc>
      </w:tr>
      <w:tr w:rsidR="000F28E1" w14:paraId="6B1FA203" w14:textId="77777777">
        <w:trPr>
          <w:trHeight w:val="242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EE2EB8" w14:textId="77777777" w:rsidR="000F28E1" w:rsidRDefault="00000000">
            <w:pPr>
              <w:spacing w:after="480"/>
              <w:rPr>
                <w:b/>
                <w:bCs/>
                <w:highlight w:val="white"/>
              </w:rPr>
            </w:pPr>
            <w:r>
              <w:rPr>
                <w:b/>
                <w:bCs/>
                <w:highlight w:val="white"/>
              </w:rPr>
              <w:t>Smart Money</w:t>
            </w:r>
          </w:p>
        </w:tc>
        <w:tc>
          <w:tcPr>
            <w:tcW w:w="2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830588" w14:textId="77777777" w:rsidR="000F28E1" w:rsidRDefault="00000000">
            <w:pPr>
              <w:spacing w:after="480"/>
              <w:rPr>
                <w:highlight w:val="white"/>
              </w:rPr>
            </w:pPr>
            <w:r>
              <w:rPr>
                <w:highlight w:val="white"/>
              </w:rPr>
              <w:t>Les vendeurs à découvert sont des institutionnels informés. Un short élevé trahit un problème caché.</w:t>
            </w:r>
          </w:p>
        </w:tc>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78378E" w14:textId="77777777" w:rsidR="000F28E1" w:rsidRDefault="000F28E1">
            <w:pPr>
              <w:spacing w:after="480"/>
              <w:rPr>
                <w:highlight w:val="white"/>
              </w:rPr>
            </w:pP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FF813E1" w14:textId="77777777" w:rsidR="000F28E1" w:rsidRDefault="00000000">
            <w:pPr>
              <w:spacing w:after="480"/>
              <w:rPr>
                <w:highlight w:val="white"/>
              </w:rPr>
            </w:pPr>
            <w:r>
              <w:rPr>
                <w:b/>
                <w:bCs/>
                <w:highlight w:val="white"/>
              </w:rPr>
              <w:t xml:space="preserve">Filtre d'Exclusion : </w:t>
            </w:r>
            <w:r>
              <w:rPr>
                <w:rFonts w:ascii="Arial Unicode MS" w:eastAsia="Arial Unicode MS" w:hAnsi="Arial Unicode MS" w:cs="Arial Unicode MS"/>
                <w:highlight w:val="white"/>
              </w:rPr>
              <w:t>Si &gt;15−20% du flottant est shorté, l'action est bannie (évite les "Value Traps").</w:t>
            </w:r>
          </w:p>
        </w:tc>
      </w:tr>
      <w:tr w:rsidR="000F28E1" w14:paraId="16D61D90" w14:textId="77777777">
        <w:trPr>
          <w:trHeight w:val="242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972FEC" w14:textId="77777777" w:rsidR="000F28E1" w:rsidRDefault="00000000">
            <w:pPr>
              <w:spacing w:after="480"/>
              <w:rPr>
                <w:b/>
                <w:bCs/>
                <w:highlight w:val="white"/>
              </w:rPr>
            </w:pPr>
            <w:r>
              <w:rPr>
                <w:b/>
                <w:bCs/>
                <w:highlight w:val="white"/>
              </w:rPr>
              <w:t>Skin in the Game</w:t>
            </w:r>
          </w:p>
        </w:tc>
        <w:tc>
          <w:tcPr>
            <w:tcW w:w="24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E163AB0" w14:textId="77777777" w:rsidR="000F28E1" w:rsidRDefault="00000000">
            <w:pPr>
              <w:spacing w:after="480"/>
              <w:rPr>
                <w:highlight w:val="white"/>
              </w:rPr>
            </w:pPr>
            <w:r>
              <w:rPr>
                <w:highlight w:val="white"/>
              </w:rPr>
              <w:t>Les dirigeants n'achètent des actions que s'ils sont convaincus de la sous-évaluation ou de la croissance future.</w:t>
            </w:r>
          </w:p>
        </w:tc>
        <w:tc>
          <w:tcPr>
            <w:tcW w:w="183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D6567D" w14:textId="77777777" w:rsidR="000F28E1" w:rsidRDefault="00000000">
            <w:pPr>
              <w:spacing w:after="480"/>
              <w:rPr>
                <w:highlight w:val="white"/>
              </w:rPr>
            </w:pPr>
            <w:r>
              <w:rPr>
                <w:highlight w:val="white"/>
              </w:rPr>
              <w:t>N. Taleb (Concept)</w:t>
            </w:r>
          </w:p>
        </w:tc>
        <w:tc>
          <w:tcPr>
            <w:tcW w:w="32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AC0F079" w14:textId="77777777" w:rsidR="000F28E1" w:rsidRDefault="00000000">
            <w:pPr>
              <w:spacing w:after="480"/>
              <w:rPr>
                <w:highlight w:val="white"/>
              </w:rPr>
            </w:pPr>
            <w:r>
              <w:rPr>
                <w:b/>
                <w:bCs/>
                <w:highlight w:val="white"/>
              </w:rPr>
              <w:t xml:space="preserve">Bonus de Score : </w:t>
            </w:r>
            <w:r>
              <w:rPr>
                <w:highlight w:val="white"/>
              </w:rPr>
              <w:t>Un achat net des dirigeants sur 6 mois augmente le score "Quality" du titre.</w:t>
            </w:r>
          </w:p>
        </w:tc>
      </w:tr>
    </w:tbl>
    <w:p w14:paraId="2F38DB5B" w14:textId="77777777" w:rsidR="000F28E1" w:rsidRDefault="000F28E1">
      <w:pPr>
        <w:rPr>
          <w:color w:val="1F1F1F"/>
          <w:sz w:val="24"/>
          <w:szCs w:val="24"/>
          <w:highlight w:val="white"/>
        </w:rPr>
      </w:pPr>
    </w:p>
    <w:p w14:paraId="45C78417" w14:textId="77777777" w:rsidR="000F28E1" w:rsidRDefault="000F28E1"/>
    <w:p w14:paraId="122333C2" w14:textId="77777777" w:rsidR="000F28E1" w:rsidRDefault="000F28E1"/>
    <w:sectPr w:rsidR="000F28E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75E5B84-6E0C-B140-8C74-0F61A3AE6148}"/>
  </w:font>
  <w:font w:name="Arial">
    <w:panose1 w:val="020B0604020202020204"/>
    <w:charset w:val="00"/>
    <w:family w:val="swiss"/>
    <w:pitch w:val="variable"/>
    <w:sig w:usb0="E0002AFF" w:usb1="C0007843" w:usb2="00000009" w:usb3="00000000" w:csb0="000001FF" w:csb1="00000000"/>
    <w:embedRegular r:id="rId2" w:fontKey="{603EAAFB-DE89-124C-B5C0-602C6AE19349}"/>
    <w:embedBold r:id="rId3" w:fontKey="{BA3FD4DC-1631-B24B-A72E-0FAD1FA58E52}"/>
    <w:embedItalic r:id="rId4" w:fontKey="{2026B8BA-4A1D-1B43-BC3C-AAEF52DC6BB6}"/>
  </w:font>
  <w:font w:name="Arial Unicode MS">
    <w:panose1 w:val="020B0604020202020204"/>
    <w:charset w:val="80"/>
    <w:family w:val="swiss"/>
    <w:pitch w:val="variable"/>
    <w:sig w:usb0="F7FFAFFF" w:usb1="E9DFFFFF" w:usb2="0000003F" w:usb3="00000000" w:csb0="003F01FF" w:csb1="00000000"/>
    <w:embedRegular r:id="rId5" w:subsetted="1" w:fontKey="{679A4E07-BBDF-8648-B7B9-0C2CA8086649}"/>
    <w:embedItalic r:id="rId6" w:subsetted="1" w:fontKey="{2D5F8CCE-2B32-7F46-9383-45CA01D040C7}"/>
  </w:font>
  <w:font w:name="Calibri">
    <w:panose1 w:val="020F0502020204030204"/>
    <w:charset w:val="00"/>
    <w:family w:val="swiss"/>
    <w:pitch w:val="variable"/>
    <w:sig w:usb0="E0002AFF" w:usb1="C000247B" w:usb2="00000009" w:usb3="00000000" w:csb0="000001FF" w:csb1="00000000"/>
    <w:embedRegular r:id="rId7" w:fontKey="{EA4ECA76-58CE-3F43-B2E0-825379A31A8C}"/>
  </w:font>
  <w:font w:name="Cambria">
    <w:panose1 w:val="02040503050406030204"/>
    <w:charset w:val="00"/>
    <w:family w:val="roman"/>
    <w:notTrueType/>
    <w:pitch w:val="default"/>
    <w:embedRegular r:id="rId8" w:fontKey="{E7A44FBC-9E7C-0345-9217-327473F817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064C"/>
    <w:multiLevelType w:val="multilevel"/>
    <w:tmpl w:val="A420F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B1CAE"/>
    <w:multiLevelType w:val="multilevel"/>
    <w:tmpl w:val="F37E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747BC7"/>
    <w:multiLevelType w:val="multilevel"/>
    <w:tmpl w:val="912A5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6B5792"/>
    <w:multiLevelType w:val="multilevel"/>
    <w:tmpl w:val="90F0A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2A7EDE"/>
    <w:multiLevelType w:val="multilevel"/>
    <w:tmpl w:val="B36CB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6D394F"/>
    <w:multiLevelType w:val="multilevel"/>
    <w:tmpl w:val="82487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B76D5A"/>
    <w:multiLevelType w:val="multilevel"/>
    <w:tmpl w:val="C6229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AB81CCF"/>
    <w:multiLevelType w:val="multilevel"/>
    <w:tmpl w:val="DF625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1131C7"/>
    <w:multiLevelType w:val="multilevel"/>
    <w:tmpl w:val="D5002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FA4DAE"/>
    <w:multiLevelType w:val="multilevel"/>
    <w:tmpl w:val="9710B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60968288">
    <w:abstractNumId w:val="4"/>
  </w:num>
  <w:num w:numId="2" w16cid:durableId="1171094478">
    <w:abstractNumId w:val="1"/>
  </w:num>
  <w:num w:numId="3" w16cid:durableId="1424183512">
    <w:abstractNumId w:val="8"/>
  </w:num>
  <w:num w:numId="4" w16cid:durableId="1047609885">
    <w:abstractNumId w:val="5"/>
  </w:num>
  <w:num w:numId="5" w16cid:durableId="701709102">
    <w:abstractNumId w:val="6"/>
  </w:num>
  <w:num w:numId="6" w16cid:durableId="2093622224">
    <w:abstractNumId w:val="7"/>
  </w:num>
  <w:num w:numId="7" w16cid:durableId="1639720057">
    <w:abstractNumId w:val="0"/>
  </w:num>
  <w:num w:numId="8" w16cid:durableId="2075201733">
    <w:abstractNumId w:val="2"/>
  </w:num>
  <w:num w:numId="9" w16cid:durableId="1813787635">
    <w:abstractNumId w:val="3"/>
  </w:num>
  <w:num w:numId="10" w16cid:durableId="10420524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E1"/>
    <w:rsid w:val="000960E5"/>
    <w:rsid w:val="000F28E1"/>
    <w:rsid w:val="00DC6EEA"/>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20E70E36"/>
  <w15:docId w15:val="{B0A277C8-42C8-A942-9EBE-CA38BA658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ure.com/articles/srep016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inelibrary.wiley.com/doi/10.1111/j.1540-6261.1974.tb03058.x" TargetMode="External"/><Relationship Id="rId5" Type="http://schemas.openxmlformats.org/officeDocument/2006/relationships/hyperlink" Target="https://web.williams.edu/Mathematics/sjmiller/public_html/341Fa09/econ/Mandelbroit_VariationCertainSpeculativePrices.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1568</Words>
  <Characters>8941</Characters>
  <Application>Microsoft Office Word</Application>
  <DocSecurity>0</DocSecurity>
  <Lines>74</Lines>
  <Paragraphs>20</Paragraphs>
  <ScaleCrop>false</ScaleCrop>
  <Company/>
  <LinksUpToDate>false</LinksUpToDate>
  <CharactersWithSpaces>10489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Solene Hours</cp:lastModifiedBy>
  <cp:revision>2</cp:revision>
  <dcterms:created xsi:type="dcterms:W3CDTF">2026-01-08T21:49:00Z</dcterms:created>
  <dcterms:modified xsi:type="dcterms:W3CDTF">2026-01-08T21:49:00Z</dcterms:modified>
</cp:coreProperties>
</file>