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Georgia" w:cs="Georgia" w:eastAsia="Georgia" w:hAnsi="Georgia"/>
          <w:b/>
          <w:bCs/>
          <w:color w:val="7A2E4D"/>
          <w:sz w:val="44"/>
          <w:szCs w:val="44"/>
        </w:rPr>
        <w:t xml:space="preserve">Solene Sula</w:t>
      </w:r>
    </w:p>
    <w:p>
      <w:pPr>
        <w:spacing w:after="40"/>
      </w:pPr>
      <w:r>
        <w:rPr>
          <w:rFonts w:ascii="Calibri" w:cs="Calibri" w:eastAsia="Calibri" w:hAnsi="Calibri"/>
          <w:i/>
          <w:iCs/>
          <w:color w:val="6B5764"/>
          <w:sz w:val="22"/>
          <w:szCs w:val="22"/>
        </w:rPr>
        <w:t xml:space="preserve">Healthcare Data &amp; Strategy · Johns Hopkins MHA</w:t>
      </w:r>
    </w:p>
    <w:p>
      <w:pPr>
        <w:spacing w:after="40"/>
      </w:pPr>
      <w:r>
        <w:rPr>
          <w:rFonts w:ascii="Calibri" w:cs="Calibri" w:eastAsia="Calibri" w:hAnsi="Calibri"/>
          <w:i/>
          <w:iCs/>
          <w:color w:val="6B5764"/>
          <w:sz w:val="22"/>
          <w:szCs w:val="22"/>
        </w:rPr>
        <w:t xml:space="preserve">Founder, Don’t Lose Your Whimsy</w:t>
      </w:r>
    </w:p>
    <w:p>
      <w:pPr>
        <w:pBdr>
          <w:bottom w:val="single" w:color="C7A7B3" w:sz="6"/>
        </w:pBdr>
        <w:spacing w:after="180" w:before="60"/>
      </w:pPr>
      <w:r>
        <w:t xml:space="preserve"/>
      </w:r>
    </w:p>
    <w:p>
      <w:pPr>
        <w:pStyle w:val="Heading2"/>
        <w:spacing w:after="100" w:before="240"/>
      </w:pPr>
      <w:r>
        <w:rPr>
          <w:rFonts w:ascii="Georgia" w:cs="Georgia" w:eastAsia="Georgia" w:hAnsi="Georgia"/>
          <w:b/>
          <w:bCs/>
          <w:color w:val="7A2E4D"/>
          <w:sz w:val="26"/>
          <w:szCs w:val="26"/>
        </w:rPr>
        <w:t xml:space="preserve">A little about me</w:t>
      </w:r>
    </w:p>
    <w:p>
      <w:pPr>
        <w:spacing w:after="120" w:line="300"/>
      </w:pPr>
      <w:r>
        <w:rPr>
          <w:rFonts w:ascii="Calibri" w:cs="Calibri" w:eastAsia="Calibri" w:hAnsi="Calibri"/>
          <w:color w:val="1F1B24"/>
          <w:sz w:val="22"/>
          <w:szCs w:val="22"/>
        </w:rPr>
        <w:t xml:space="preserve">I’m a recent Johns Hopkins healthcare management graduate working across healthcare data and strategy. I’m most interested in the intersection of </w:t>
      </w:r>
      <w:r>
        <w:rPr>
          <w:rFonts w:ascii="Calibri" w:cs="Calibri" w:eastAsia="Calibri" w:hAnsi="Calibri"/>
          <w:b/>
          <w:bCs/>
          <w:color w:val="1F1B24"/>
          <w:sz w:val="22"/>
          <w:szCs w:val="22"/>
        </w:rPr>
        <w:t xml:space="preserve">health equity, community-based care, and payer policy</w:t>
      </w:r>
      <w:r>
        <w:rPr>
          <w:rFonts w:ascii="Calibri" w:cs="Calibri" w:eastAsia="Calibri" w:hAnsi="Calibri"/>
          <w:color w:val="1F1B24"/>
          <w:sz w:val="22"/>
          <w:szCs w:val="22"/>
        </w:rPr>
        <w:t xml:space="preserve"> — how the design of systems either helps or harms the people navigating them, and how community-informed strategy can move the needle.</w:t>
      </w:r>
    </w:p>
    <w:p>
      <w:pPr>
        <w:spacing w:after="120" w:line="300"/>
      </w:pPr>
      <w:r>
        <w:rPr>
          <w:rFonts w:ascii="Calibri" w:cs="Calibri" w:eastAsia="Calibri" w:hAnsi="Calibri"/>
          <w:color w:val="1F1B24"/>
          <w:sz w:val="22"/>
          <w:szCs w:val="22"/>
        </w:rPr>
        <w:t xml:space="preserve">Alongside that, I build </w:t>
      </w:r>
      <w:r>
        <w:rPr>
          <w:rFonts w:ascii="Calibri" w:cs="Calibri" w:eastAsia="Calibri" w:hAnsi="Calibri"/>
          <w:b/>
          <w:bCs/>
          <w:color w:val="1F1B24"/>
          <w:sz w:val="22"/>
          <w:szCs w:val="22"/>
        </w:rPr>
        <w:t xml:space="preserve">Don’t Lose Your Whimsy</w:t>
      </w:r>
      <w:r>
        <w:rPr>
          <w:rFonts w:ascii="Calibri" w:cs="Calibri" w:eastAsia="Calibri" w:hAnsi="Calibri"/>
          <w:color w:val="1F1B24"/>
          <w:sz w:val="22"/>
          <w:szCs w:val="22"/>
        </w:rPr>
        <w:t xml:space="preserve"> (whimsy-by-dlyw.vercel.app), a free, open-source community initiative for people managing chronic illness and non-apparent conditions. It came out of my own experience being dismissed in clinical settings and having no easy way to bring my own data with me.</w:t>
      </w:r>
    </w:p>
    <w:p>
      <w:pPr>
        <w:pStyle w:val="Heading2"/>
        <w:spacing w:after="100" w:before="240"/>
      </w:pPr>
      <w:r>
        <w:rPr>
          <w:rFonts w:ascii="Georgia" w:cs="Georgia" w:eastAsia="Georgia" w:hAnsi="Georgia"/>
          <w:b/>
          <w:bCs/>
          <w:color w:val="7A2E4D"/>
          <w:sz w:val="26"/>
          <w:szCs w:val="26"/>
        </w:rPr>
        <w:t xml:space="preserve">What Whimsy is</w:t>
      </w:r>
    </w:p>
    <w:p>
      <w:pPr>
        <w:spacing w:after="120" w:line="300"/>
      </w:pPr>
      <w:r>
        <w:rPr>
          <w:rFonts w:ascii="Calibri" w:cs="Calibri" w:eastAsia="Calibri" w:hAnsi="Calibri"/>
          <w:color w:val="1F1B24"/>
          <w:sz w:val="22"/>
          <w:szCs w:val="22"/>
        </w:rPr>
        <w:t xml:space="preserve">Whimsy is a private, phone-first tracking and advocacy tool for people whose conditions are invisible or intermittent — the population most often gaslit by systems that expect uniform symptoms and clean labs. Users log daily energy, pain, medication doses, and body-map flare locations, then generate:</w:t>
      </w:r>
    </w:p>
    <w:p>
      <w:pPr>
        <w:pStyle w:val="ListParagraph"/>
        <w:numPr>
          <w:ilvl w:val="0"/>
          <w:numId w:val="2"/>
        </w:numPr>
        <w:spacing w:after="80" w:line="288"/>
      </w:pPr>
      <w:r>
        <w:rPr>
          <w:rFonts w:ascii="Calibri" w:cs="Calibri" w:eastAsia="Calibri" w:hAnsi="Calibri"/>
          <w:b/>
          <w:bCs/>
          <w:color w:val="1F1B24"/>
          <w:sz w:val="22"/>
          <w:szCs w:val="22"/>
        </w:rPr>
        <w:t xml:space="preserve">Doctor-ready summaries</w:t>
      </w:r>
      <w:r>
        <w:rPr>
          <w:rFonts w:ascii="Calibri" w:cs="Calibri" w:eastAsia="Calibri" w:hAnsi="Calibri"/>
          <w:color w:val="1F1B24"/>
          <w:sz w:val="22"/>
          <w:szCs w:val="22"/>
        </w:rPr>
        <w:t xml:space="preserve"> — pain patterns, medications, and free-text history a clinician can read in under a minute.</w:t>
      </w:r>
    </w:p>
    <w:p>
      <w:pPr>
        <w:pStyle w:val="ListParagraph"/>
        <w:numPr>
          <w:ilvl w:val="0"/>
          <w:numId w:val="2"/>
        </w:numPr>
        <w:spacing w:after="80" w:line="288"/>
      </w:pPr>
      <w:r>
        <w:rPr>
          <w:rFonts w:ascii="Calibri" w:cs="Calibri" w:eastAsia="Calibri" w:hAnsi="Calibri"/>
          <w:b/>
          <w:bCs/>
          <w:color w:val="1F1B24"/>
          <w:sz w:val="22"/>
          <w:szCs w:val="22"/>
        </w:rPr>
        <w:t xml:space="preserve">Appeal-letter drafts</w:t>
      </w:r>
      <w:r>
        <w:rPr>
          <w:rFonts w:ascii="Calibri" w:cs="Calibri" w:eastAsia="Calibri" w:hAnsi="Calibri"/>
          <w:color w:val="1F1B24"/>
          <w:sz w:val="22"/>
          <w:szCs w:val="22"/>
        </w:rPr>
        <w:t xml:space="preserve"> — assembled from real logged data when insurance denies coverage.</w:t>
      </w:r>
    </w:p>
    <w:p>
      <w:pPr>
        <w:pStyle w:val="ListParagraph"/>
        <w:numPr>
          <w:ilvl w:val="0"/>
          <w:numId w:val="2"/>
        </w:numPr>
        <w:spacing w:after="80" w:line="288"/>
      </w:pPr>
      <w:r>
        <w:rPr>
          <w:rFonts w:ascii="Calibri" w:cs="Calibri" w:eastAsia="Calibri" w:hAnsi="Calibri"/>
          <w:b/>
          <w:bCs/>
          <w:color w:val="1F1B24"/>
          <w:sz w:val="22"/>
          <w:szCs w:val="22"/>
        </w:rPr>
        <w:t xml:space="preserve">Bias-specific advocacy scripts</w:t>
      </w:r>
      <w:r>
        <w:rPr>
          <w:rFonts w:ascii="Calibri" w:cs="Calibri" w:eastAsia="Calibri" w:hAnsi="Calibri"/>
          <w:color w:val="1F1B24"/>
          <w:sz w:val="22"/>
          <w:szCs w:val="22"/>
        </w:rPr>
        <w:t xml:space="preserve"> — for the moments a patient needs language, not just information.</w:t>
      </w:r>
    </w:p>
    <w:p>
      <w:pPr>
        <w:spacing w:after="120" w:line="300"/>
      </w:pPr>
      <w:r>
        <w:rPr>
          <w:rFonts w:ascii="Calibri" w:cs="Calibri" w:eastAsia="Calibri" w:hAnsi="Calibri"/>
          <w:color w:val="1F1B24"/>
          <w:sz w:val="22"/>
          <w:szCs w:val="22"/>
        </w:rPr>
        <w:t xml:space="preserve">It runs in-browser as a PWA, stores everything locally, and asks for zero personal identifiers to use. Members can opt in to contribute anonymized entries to research on medical dismissal.</w:t>
      </w:r>
    </w:p>
    <w:p>
      <w:pPr>
        <w:pStyle w:val="Heading2"/>
        <w:spacing w:after="100" w:before="240"/>
      </w:pPr>
      <w:r>
        <w:rPr>
          <w:rFonts w:ascii="Georgia" w:cs="Georgia" w:eastAsia="Georgia" w:hAnsi="Georgia"/>
          <w:b/>
          <w:bCs/>
          <w:color w:val="7A2E4D"/>
          <w:sz w:val="26"/>
          <w:szCs w:val="26"/>
        </w:rPr>
        <w:t xml:space="preserve">Where your work and Whimsy meet</w:t>
      </w:r>
    </w:p>
    <w:p>
      <w:pPr>
        <w:pStyle w:val="ListParagraph"/>
        <w:numPr>
          <w:ilvl w:val="0"/>
          <w:numId w:val="2"/>
        </w:numPr>
        <w:spacing w:after="80" w:line="288"/>
      </w:pPr>
      <w:r>
        <w:rPr>
          <w:rFonts w:ascii="Calibri" w:cs="Calibri" w:eastAsia="Calibri" w:hAnsi="Calibri"/>
          <w:b/>
          <w:bCs/>
          <w:color w:val="1F1B24"/>
          <w:sz w:val="22"/>
          <w:szCs w:val="22"/>
        </w:rPr>
        <w:t xml:space="preserve">Health equity</w:t>
      </w:r>
      <w:r>
        <w:rPr>
          <w:rFonts w:ascii="Calibri" w:cs="Calibri" w:eastAsia="Calibri" w:hAnsi="Calibri"/>
          <w:color w:val="1F1B24"/>
          <w:sz w:val="22"/>
          <w:szCs w:val="22"/>
        </w:rPr>
        <w:t xml:space="preserve"> — chronic and non-apparent conditions disproportionately affect women, Black patients, and people with limited access to specialists. Whimsy exists to give those patients evidence they can carry into rooms that don’t default to believing them.</w:t>
      </w:r>
    </w:p>
    <w:p>
      <w:pPr>
        <w:pStyle w:val="ListParagraph"/>
        <w:numPr>
          <w:ilvl w:val="0"/>
          <w:numId w:val="2"/>
        </w:numPr>
        <w:spacing w:after="80" w:line="288"/>
      </w:pPr>
      <w:r>
        <w:rPr>
          <w:rFonts w:ascii="Calibri" w:cs="Calibri" w:eastAsia="Calibri" w:hAnsi="Calibri"/>
          <w:b/>
          <w:bCs/>
          <w:color w:val="1F1B24"/>
          <w:sz w:val="22"/>
          <w:szCs w:val="22"/>
        </w:rPr>
        <w:t xml:space="preserve">Community health leadership</w:t>
      </w:r>
      <w:r>
        <w:rPr>
          <w:rFonts w:ascii="Calibri" w:cs="Calibri" w:eastAsia="Calibri" w:hAnsi="Calibri"/>
          <w:color w:val="1F1B24"/>
          <w:sz w:val="22"/>
          <w:szCs w:val="22"/>
        </w:rPr>
        <w:t xml:space="preserve"> — the product is a wrapper; the community it serves is the thing. I’d love to learn how you built community trust across systems that historically haven’t earned it.</w:t>
      </w:r>
    </w:p>
    <w:p>
      <w:pPr>
        <w:pStyle w:val="ListParagraph"/>
        <w:numPr>
          <w:ilvl w:val="0"/>
          <w:numId w:val="2"/>
        </w:numPr>
        <w:spacing w:after="80" w:line="288"/>
      </w:pPr>
      <w:r>
        <w:rPr>
          <w:rFonts w:ascii="Calibri" w:cs="Calibri" w:eastAsia="Calibri" w:hAnsi="Calibri"/>
          <w:b/>
          <w:bCs/>
          <w:color w:val="1F1B24"/>
          <w:sz w:val="22"/>
          <w:szCs w:val="22"/>
        </w:rPr>
        <w:t xml:space="preserve">Policy &amp; advocacy</w:t>
      </w:r>
      <w:r>
        <w:rPr>
          <w:rFonts w:ascii="Calibri" w:cs="Calibri" w:eastAsia="Calibri" w:hAnsi="Calibri"/>
          <w:color w:val="1F1B24"/>
          <w:sz w:val="22"/>
          <w:szCs w:val="22"/>
        </w:rPr>
        <w:t xml:space="preserve"> — the appeal-letter and doctor-summary features exist because so much of navigating chronic illness is fighting administrative denials. That maps onto payer policy work you’ve done.</w:t>
      </w:r>
    </w:p>
    <w:p>
      <w:pPr>
        <w:pStyle w:val="Heading2"/>
        <w:spacing w:after="100" w:before="240"/>
      </w:pPr>
      <w:r>
        <w:rPr>
          <w:rFonts w:ascii="Georgia" w:cs="Georgia" w:eastAsia="Georgia" w:hAnsi="Georgia"/>
          <w:b/>
          <w:bCs/>
          <w:color w:val="7A2E4D"/>
          <w:sz w:val="26"/>
          <w:szCs w:val="26"/>
        </w:rPr>
        <w:t xml:space="preserve">What I’d love your read on</w:t>
      </w:r>
    </w:p>
    <w:p>
      <w:pPr>
        <w:pStyle w:val="ListParagraph"/>
        <w:numPr>
          <w:ilvl w:val="0"/>
          <w:numId w:val="2"/>
        </w:numPr>
        <w:spacing w:after="80" w:line="288"/>
      </w:pPr>
      <w:r>
        <w:rPr>
          <w:rFonts w:ascii="Calibri" w:cs="Calibri" w:eastAsia="Calibri" w:hAnsi="Calibri"/>
          <w:color w:val="1F1B24"/>
          <w:sz w:val="22"/>
          <w:szCs w:val="22"/>
        </w:rPr>
        <w:t xml:space="preserve">How you decided when to move between systems (payer, community, policy) vs. deepen inside one.</w:t>
      </w:r>
    </w:p>
    <w:p>
      <w:pPr>
        <w:pStyle w:val="ListParagraph"/>
        <w:numPr>
          <w:ilvl w:val="0"/>
          <w:numId w:val="2"/>
        </w:numPr>
        <w:spacing w:after="80" w:line="288"/>
      </w:pPr>
      <w:r>
        <w:rPr>
          <w:rFonts w:ascii="Calibri" w:cs="Calibri" w:eastAsia="Calibri" w:hAnsi="Calibri"/>
          <w:color w:val="1F1B24"/>
          <w:sz w:val="22"/>
          <w:szCs w:val="22"/>
        </w:rPr>
        <w:t xml:space="preserve">Where community-informed strategy tends to break down in practice — what looks good on paper but doesn’t translate.</w:t>
      </w:r>
    </w:p>
    <w:p>
      <w:pPr>
        <w:pStyle w:val="ListParagraph"/>
        <w:numPr>
          <w:ilvl w:val="0"/>
          <w:numId w:val="2"/>
        </w:numPr>
        <w:spacing w:after="80" w:line="288"/>
      </w:pPr>
      <w:r>
        <w:rPr>
          <w:rFonts w:ascii="Calibri" w:cs="Calibri" w:eastAsia="Calibri" w:hAnsi="Calibri"/>
          <w:color w:val="1F1B24"/>
          <w:sz w:val="22"/>
          <w:szCs w:val="22"/>
        </w:rPr>
        <w:t xml:space="preserve">What early-career mistakes cost you the most — the ones you’d save someone else from.</w:t>
      </w:r>
    </w:p>
    <w:p>
      <w:pPr>
        <w:pStyle w:val="ListParagraph"/>
        <w:numPr>
          <w:ilvl w:val="0"/>
          <w:numId w:val="2"/>
        </w:numPr>
        <w:spacing w:after="80" w:line="288"/>
      </w:pPr>
      <w:r>
        <w:rPr>
          <w:rFonts w:ascii="Calibri" w:cs="Calibri" w:eastAsia="Calibri" w:hAnsi="Calibri"/>
          <w:color w:val="1F1B24"/>
          <w:sz w:val="22"/>
          <w:szCs w:val="22"/>
        </w:rPr>
        <w:t xml:space="preserve">Whether Whimsy’s framing (patient-owned evidence + advocacy scripts) reads to you as useful, missing something, or naming a problem you’ve seen from the other side of the table.</w:t>
      </w:r>
    </w:p>
    <w:p>
      <w:pPr>
        <w:pBdr>
          <w:bottom w:val="single" w:color="C7A7B3" w:sz="6"/>
        </w:pBdr>
        <w:spacing w:after="180" w:before="60"/>
      </w:pPr>
      <w:r>
        <w:t xml:space="preserve"/>
      </w:r>
    </w:p>
    <w:p>
      <w:pPr>
        <w:spacing w:before="60"/>
        <w:jc w:val="left"/>
      </w:pPr>
      <w:r>
        <w:rPr>
          <w:rFonts w:ascii="Calibri" w:cs="Calibri" w:eastAsia="Calibri" w:hAnsi="Calibri"/>
          <w:i/>
          <w:iCs/>
          <w:color w:val="6B5764"/>
          <w:sz w:val="22"/>
          <w:szCs w:val="22"/>
        </w:rPr>
        <w:t xml:space="preserve">Thank you again for making time. Whatever you’re able to share, I’m grateful.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2026-07-20T11:02:46.975Z</dcterms:created>
  <dcterms:modified xsi:type="dcterms:W3CDTF">2026-07-20T11:02:46.980Z</dcterms:modified>
</cp:coreProperties>
</file>

<file path=docProps/custom.xml><?xml version="1.0" encoding="utf-8"?>
<Properties xmlns="http://schemas.openxmlformats.org/officeDocument/2006/custom-properties" xmlns:vt="http://schemas.openxmlformats.org/officeDocument/2006/docPropsVTypes"/>
</file>