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 + нейтральный хром»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исключён; палитра Golden Sand вынесена из редактора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Яндекс 360 + локальный relay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Яндекс 360 API /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Яндекс 360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5.1, 5.1.1, 5.2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Палитра «Golden Sand», свечение и Backlight как постоянный декор; одна светлая тема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Нейтральный хром редактора + золото как бренд-акцент; две темы; свечение только как индикатор действия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Песочная заливка тинтила превью чужого дизайна; решение заказчика 01.10.2026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нейтральный хром + золото + 1С + Яндекс 360) Дата: 30 сентября 2026 Стек: Python (Django/FastAPI) + React 19 + Konva 10 + Vite 8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Палитра редактора: нейтральный серый хром + золото как бренд-акцент. «Golden Sand» сохранён в brand-гайде и на публичном сайте, но не в редакторе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Визуальный стиль: Aura — только при перетаскивании элемента, Backlight — только при работе AI-ассистента. Добавлена тёмная тема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 Яндекс 360 SMTP (основной) + локальный relay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19 + TypeScript + Konva 10, сборка Vite 8.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Нейтральная палитра с Aura — только при перетаскивании элементаом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Фон: #F7F8F9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Панели: #FFFFFF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Акцент: #D9A441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Вторичный: #7E5A12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Текст: #1A1C1E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 xml:space="preserve">Мягкий текст: #5B6169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 xml:space="preserve">Aura — только при перетаскивании элемента: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>
      <ns0:pPr/>
      <ns0:r>
        <ns0:rPr>
          <ns0:b/>
          <ns0:bCs/>
        </ns0:rPr>
        <ns0:t xml:space="preserve">🆕 4.5.1. Решения по открытым вопросам каталога</ns0:t>
      </ns0:r>
    </ns0:p>
    <ns0:p>
      <ns0:pPr/>
      <ns0:r>
        <ns0:rPr/>
        <ns0:t xml:space="preserve">Приняты 30.09.2026. Полный разбор с обоснованиями — в docs/DECISIONS-CATALOG.md.</ns0:t>
      </ns0:r>
    </ns0:p>
    <ns0:p>
      <ns0:pPr>
        <ns0:numPr>
          <ns0:ilvl ns0:val="0"/>
          <ns0:numId ns0:val="200"/>
        </ns0:numPr>
      </ns0:pPr>
      <ns0:r>
        <ns0:rPr/>
        <ns0:t xml:space="preserve">Create-only в этапе 5, update и delete — после закрытой беты. Причина: публичная запись требует модели прав на уровне записи, журналирования по 152-ФЗ и защиты от конфликтов с редактором. В статическом экспорте (п.16.4) модуль не попадает в архив и помечается как неподдерживаемый.</ns0:t>
      </ns0:r>
    </ns0:p>
    <ns0:p>
      <ns0:pPr>
        <ns0:numPr>
          <ns0:ilvl ns0:val="0"/>
          <ns0:numId ns0:val="200"/>
        </ns0:numPr>
      </ns0:pPr>
      <ns0:r>
        <ns0:rPr/>
        <ns0:t xml:space="preserve">Аккордеон и FAQ — два отдельных модуля (section.accordion, section.faq) с общим низкоуровневым компонентом Disclosure. Причина: разные схемы микроразметки Schema.org (нет / FAQPage), разная семантика для скринридеров и разное состояние по умолчанию. Объединение в один модуль означало бы условное ветвление схемы микроразметки в Export Engine.</ns0:t>
      </ns0:r>
    </ns0:p>
    <ns0:p>
      <ns0:pPr>
        <ns0:numPr>
          <ns0:ilvl ns0:val="0"/>
          <ns0:numId ns0:val="200"/>
        </ns0:numPr>
      </ns0:pPr>
      <ns0:r>
        <ns0:rPr/>
        <ns0:t xml:space="preserve">Пользовательские модули не входят в MVP. Потребность закрывается модулем code.custom (исполнение в iframe-песочнице). Публикация сторонних модулей — отдельный продукт (песочница, версионирование, модерация, аудит вредоносного кода). Обязательное условие: контракт модуля проектируется как интерфейс на этапе 0 — тогда расширение не потребует переделки ядра.</ns0:t>
      </ns0:r>
    </ns0:p>
    <ns0:p>
      <ns0:pPr>
        <ns0:numPr>
          <ns0:ilvl ns0:val="0"/>
          <ns0:numId ns0:val="200"/>
        </ns0:numPr>
      </ns0:pPr>
      <ns0:r>
        <ns0:rPr/>
        <ns0:t xml:space="preserve">Языки: контент сайтов — RU и EN с MVP; интерфейс редактора, админки и системные уведомления — RU. Причина: многоязычность контента определяет схему БД (этап 2) и не подлежит миграции после выхода на рынок. Реализация: таблица переводов i18n_string(key_ru, key_en), модули хранят ключи, локаль — атрибут проекта, hreflang генерирует Export Engine. Затраты ~1 неделя на этапе 2.</ns0:t>
      </ns0:r>
    </ns0:p>
    <ns0:p>
      <ns0:pPr/>
      <ns0:r>
        <ns0:rPr>
          <ns0:b/>
          <ns0:bCs/>
        </ns0:rPr>
        <ns0:t xml:space="preserve">Анализ по каждому решению:</ns0:t>
      </ns0:r>
    </ns0:p>
    <ns0:p>
      <ns0:pPr>
        <ns0:numPr>
          <ns0:ilvl ns0:val="0"/>
          <ns0:numId ns0:val="201"/>
        </ns0:numPr>
      </ns0:pPr>
      <ns0:r>
        <ns0:rPr/>
        <ns0:t xml:space="preserve">CRUD: затрагивает модель прав (третья роль — посетитель), аудит ПДн, транзакции, экспорт. Полный CRUD в MVP добавил бы ~2 недели к этапу 3</ns0:t>
      </ns0:r>
    </ns0:p>
    <ns0:p>
      <ns0:pPr>
        <ns0:numPr>
          <ns0:ilvl ns0:val="0"/>
          <ns0:numId ns0:val="201"/>
        </ns0:numPr>
      </ns0:pPr>
      <ns0:r>
        <ns0:rPr/>
        <ns0:t xml:space="preserve">Аккордеон/FAQ: затрагивает схемы микроразметки, семантику для скринридеров, логику по умолчанию, источники данных. Общее ядро исключает дублирование кода</ns0:t>
      </ns0:r>
    </ns0:p>
    <ns0:p>
      <ns0:pPr>
        <ns0:numPr>
          <ns0:ilvl ns0:val="0"/>
          <ns0:numId ns0:val="201"/>
        </ns0:numPr>
      </ns0:pPr>
      <ns0:r>
        <ns0:rPr/>
        <ns0:t xml:space="preserve">Модули: затрагивает песочницу, безопасность, все сценарии экспорта, версионирование, модерацию, поддержку. Исключение экономит 4–6 недель на этапах 3–4</ns0:t>
      </ns0:r>
    </ns0:p>
    <ns0:p>
      <ns0:pPr>
        <ns0:numPr>
          <ns0:ilvl ns0:val="0"/>
          <ns0:numId ns0:val="201"/>
        </ns0:numPr>
      </ns0:pPr>
      <ns0:r>
        <ns0:rPr/>
        <ns0:t xml:space="preserve">Языки: затрагивает схему БД, подписи и тексты ошибок всех модулей, hreflang, форматы дат и чисел, промпты ИИ-генерации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🆕 5.1. Палитра: нейтральный хром и золотой акцент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 xml:space="preserve">HEX (светлая тема)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 xml:space="preserve">Фон холста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 xml:space="preserve">Нейтральный светло-серый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 xml:space="preserve">#F7F8F9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 xml:space="preserve">Холст редактора. Нейтральный, чтобы не тинтить пользовательский дизайн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 xml:space="preserve"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 xml:space="preserve">Чистый белый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 xml:space="preserve">#FFFFFF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 xml:space="preserve">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 xml:space="preserve">Акцент (заливка)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 xml:space="preserve">Золото бренда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 xml:space="preserve">#D9A441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 xml:space="preserve">CTA-кнопки и активные состояния. Только точечно, не заливает площади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 xml:space="preserve">Акцент (текст)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 xml:space="preserve">Тёмное золото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 xml:space="preserve">#7E5A12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 xml:space="preserve">Ссылки и текст акцентных элементов на хроме (5.88:1 AA)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 xml:space="preserve"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 xml:space="preserve">Нейтральный почти-чёрный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 xml:space="preserve">#1A1C1E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 xml:space="preserve">Заголовки, основной текст (16.07:1 AAA)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 xml:space="preserve">Вторичный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 xml:space="preserve">Нейтральный серый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 xml:space="preserve">#5B6169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 xml:space="preserve">Подписи, вторичный текст (5.88:1 AA)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 xml:space="preserve"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 xml:space="preserve">Нейтральная полупрозрачная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 xml:space="preserve">rgba(20, 22, 26, 0.10)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 xml:space="preserve">Тонкие разделители; в тёмной теме — светлый полупрозрачный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 xml:space="preserve"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 xml:space="preserve">Нейтральная 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 xml:space="preserve">rgba(15, 16, 18,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 xml:space="preserve">Мягкие тени без ореола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 xml:space="preserve">Aura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 xml:space="preserve">Свечение золота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 xml:space="preserve">rgba(217, 164, 65, 0.9)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 xml:space="preserve">Только при перетаскивании элемента, не постоянно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 xml:space="preserve"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 xml:space="preserve">Свечение золота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 xml:space="preserve">rgba(217, 164, 65, 0.28)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 xml:space="preserve">Только при работе AI-ассистента, не постоянно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 xml:space="preserve">Тема: две полноценные — светлая и тёмная. Тёмная подобрана отдельно, а не получена инверсией; выбор сохраняется в профиле пользователя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Свечение применяется только к перетаскиваемому элементу и активному инструменту. Постоянного декоративного свечения нет: ореол мешает оценивать контраст чужого дизайна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Анимация активности (pulse), период 2.4 секунды. Отключается при prefers-reduced-motion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При наведении меняется обводка, без ореола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Свечение появляется только пока AI-ассистент формирует ответ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filter: blur(40px)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Создаёт ощущение работающего процесса, а не постоянного декора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>
          <ns0:b/>
          <ns0:bCs/>
        </ns0:rPr>
        <ns0:t xml:space="preserve">🆕 5.1.1. Доступность палитры: измеренный контраст и цветовые роли</ns0:t>
      </ns0:r>
    </ns0:p>
    <ns0:p>
      <ns0:pPr/>
      <ns0:r>
        <ns0:rPr/>
        <ns0:t xml:space="preserve">Проверка охватывает обе темы. Значения получены расчётом относительной яркости. Проверка воспроизводима: docs/check-contrast.mjs, 40 пар (20 на тему), все проходят. Значения хранятся в docs/palette.json — единственном источнике, чтобы скрипт и токены не расходились.</ns0:t>
      </ns0:r>
    </ns0:p>
    <ns0:p>
      <ns0:pPr/>
      <ns0:r>
        <ns0:rPr>
          <ns0:b/>
          <ns0:bCs/>
        </ns0:rPr>
        <ns0:t xml:space="preserve">Замер отклонённой палитры «Golden Sand» — что не работало и почему решение изменино: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— текст на акценте нечитаем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Заливка активной кнопки #AE9066 с белым текстом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2.62:1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Предупреждение #B8873C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2.79:1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приглушённый #8A6A3A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Успех #5C7A4E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4.21:1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Инфо #5B7186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4.41:1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 — корректно</ns0:t>
            </ns0:r>
          </ns0:p>
        </ns0:tc>
      </ns0:tr>
    </ns0:tbl>
    <ns0:p>
      <ns0:pPr/>
      <ns0:r>
        <ns0:rPr>
          <ns0:b/>
          <ns0:bCs/>
        </ns0:rPr>
        <ns0:t xml:space="preserve">Итоговая шкала (проверено, все пары проходят WCAG AA в обеих темах):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Роль (токен)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 (светлая / тёмная)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(AA проверен в обеих темах)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canvas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#F7F8F9 / #15171A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Холст редактора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panel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#FFFFFF / #1F2226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Панели, карточки, модалки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#D9A441 / #C9962E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 и активных состояний — НЕ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#7E5A12 / #E0B85C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 / 9.56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#6B4E0F / #EFC978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7.26 / 11.37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accent-text-muted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#8A6516 / #D4A94A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Второстепенные акцентные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5.00 / 8.19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text-primary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 / #E8EAED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Основной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16.07 / 14.90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text-secondary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#5B6169 / #A8AEB8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Вторичный текст,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 / 8.05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success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#3F6B33 / #7FA86F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Успешные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5.87 / 6.61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warning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#8A652D / #D9A441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Предупреждения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4.96 / 7.98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danger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#A4503C / #E08573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Ошибки, удаление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5.21 / 6.65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info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#3F5A70 / #7FA3C4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Информационные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6.79 / 6.79 AA</ns0:t>
            </ns0:r>
          </ns0:p>
        </ns0:tc>
      </ns0:tr>
    </ns0:tbl>
    <ns0:p>
      <ns0:pPr/>
      <ns0:r>
        <ns0:rPr>
          <ns0:b/>
          <ns0:bCs/>
        </ns0:rPr>
        <ns0:t xml:space="preserve">Кнопки: заливка светлая, текст тёмный. Обратный вариант (белый текст на песочном) даёт 1.7:1 и недопустим.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Состояние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Заливка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Текст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Обычная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#D9A441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7.60:1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Наведение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#E0AE4E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8.41:1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Активная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#C9962E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#14161A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6.80:1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Инверсная (тёмная заливка)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#7E5A12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#F7F8F9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5.88:1 AA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4.5:1; крупного (от 18px или 14px полужирного)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Цветовые токены разделяются по ролям: surface (заливка) и text (текст) — разные значения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перетаскивание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элементах; outline не удаляется без замены</ns0:t>
      </ns0:r>
    </ns0:p>
    <ns0:p>
      <ns0:pPr>
        <ns0:numPr>
          <ns0:ilvl ns0:val="0"/>
          <ns0:numId ns0:val="200"/>
        </ns0:numPr>
      </ns0:pPr>
      <ns0:r>
        <ns0:rPr/>
        <ns0:t xml:space="preserve">Минимальная площадь интерактивной цели — 44 на 44 пикселя (WCAG 2.5.5)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отключаются анимация «дыхания» (п.5.2) и переходы</ns0:t>
      </ns0:r>
    </ns0:p>
    <ns0:p>
      <ns0:pPr>
        <ns0:numPr>
          <ns0:ilvl ns0:val="0"/>
          <ns0:numId ns0:val="200"/>
        </ns0:numPr>
      </ns0:pPr>
      <ns0:r>
        <ns0:rPr/>
        <ns0:t xml:space="preserve">Проверка контраста запускается в CI при каждом изменении палитры — регрессия невозможна</ns0:t>
      </ns0:r>
    </ns0:p>
    <ns0:p>
      <ns0:pPr/>
      <ns0:r>
        <ns0:rPr>
          <ns0:b/>
          <ns0:bCs/>
        </ns0:rPr>
        <ns0:t xml:space="preserve">Реализация: дизайн-токены хранятся в коде (docs/design-tokens.ts), а не в Figma. Причина: токены применяются одновременно в редакторе, в сгенерированных сайтах и в экспортируемом CSS. Единый источник исключает расхождение между макетами и результатом.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 xml:space="preserve">React 19+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 xml:space="preserve">Konva 10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 xml:space="preserve">React Flow (форкнут) — для визуального конструктора логики (ноды)</ns0:t>
      </ns0:r>
    </ns0:p>
    <ns0:p>
      <ns0:pPr>
        <ns0:numPr>
          <ns0:ilvl ns0:val="0"/>
          <ns0:numId ns0:val="25"/>
        </ns0:numPr>
      </ns0:pPr>
      <ns0:r>
        <ns0:rPr/>
        <ns0:t xml:space="preserve">Vite 8 (MIT) — сборщик фронтенда. В разработке отдаёт нативные ES-модули, поэтому перезагрузка холста мгновенная; Webpack не используется: он медленнее пересобирает граф зависимостей, и на тяжёлом canvas-редакторе это заметно. Конфигурация пишется с нуля — копирование чужих проектов запрещено требованием чистой комнаты (п.7.1.6)</ns0:t>
      </ns0:r>
    </ns0:p>
    <ns0:p>
      <ns0:pPr>
        <ns0:numPr>
          <ns0:ilvl ns0:val="0"/>
          <ns0:numId ns0:val="25"/>
        </ns0:numPr>
      </ns0:pPr>
      <ns0:r>
        <ns0:rPr/>
        <ns0:t xml:space="preserve">Проверка лицензий зависимостей выполняется офлайн-скриптом tools/license-gate.mjs: внешние сервисы аудита не используются, дерево зависимостей за пределы РФ не передаётся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Разрешены только библиотеки с пермиссивными лицензиями: MIT, Apache 2.0, BSD. Исключение: psycopg (LGPL-3.0-only) — драйвер PostgreSQL для Django, решение заказчика от 02.10.2026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EMAIL-СЕРВИС: ЯНДЕКС (решение от 30.09.2026)</ns0:t>
      </ns0:r>
    </ns0:p>
    <ns0:p>
      <ns0:pPr/>
      <ns0:r>
        <ns0:rPr>
          <ns0:b/>
          <ns0:bCs/>
        </ns0:rPr>
        <ns0:t xml:space="preserve">7.6.1. Назначение: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 и входе с нового устройства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об ошибках синхронизации с 1С</ns0:t>
      </ns0:r>
    </ns0:p>
    <ns0:p>
      <ns0:pPr/>
      <ns0:r>
        <ns0:rPr>
          <ns0:b/>
          <ns0:bCs/>
        </ns0:rPr>
        <ns0:t xml:space="preserve">7.6.2. Провайдер: Яндекс 360</ns0:t>
      </ns0:r>
    </ns0:p>
    <ns0:p>
      <ns0:pPr/>
      <ns0:r>
        <ns0:rPr/>
        <ns0:t xml:space="preserve">Письма отправляются через SMTP-релей Яндекс 360. Провайдер — российский резидент, персональные данные не покидают территорию РФ, трансграничная передача исключена.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4500"/>
        <ns0:gridCol ns0:w="4500"/>
      </ns0:tblGrid>
      <ns0:tr>
        <ns0:trPr>
          <ns0:tblHeader/>
        </ns0:trPr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Параметр</ns0:t>
            </ns0:r>
          </ns0:p>
        </ns0:tc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Значение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SMTP-сервер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smtp.yandex.ru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Порт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465 (TLS сразу) или 587 (STARTTLS)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Шифрование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TLS 1.2+ обязательно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Аутентификация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Логин домена + пароль приложения (при двухфакторной аутентификации)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Учётная запись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Выделенный адрес отправки, например no-reply@aurabuilder.ru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Формат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MIME, поддержка HTML и plain-text альтернативы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Требуемое ПО на сервере платформы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Postfix (EPL-1.0) или Maddy (MIT) как локальный relay перед Яндексом</ns0:t>
            </ns0:r>
          </ns0:p>
        </ns0:tc>
      </ns0:tr>
    </ns0:tbl>
    <ns0:p>
      <ns0:pPr/>
      <ns0:r>
        <ns0:rPr>
          <ns0:b/>
          <ns0:bCs/>
        </ns0:rPr>
        <ns0:t xml:space="preserve">7.6.3. Реализация: слой абстракции и очередь</ns0:t>
      </ns0:r>
    </ns0:p>
    <ns0:p>
      <ns0:pPr/>
      <ns0:r>
        <ns0:rPr/>
        <ns0:t xml:space="preserve">Провайдер скрыт за интерфейсом. Отправка выполняется только из фоновой очереди — синхронная отправка письма в HTTP-запросе недопустима (пользователь не должен ждать SMTP).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Реализации: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YandexSMTPProvider  — smtp.yandex.ru (основной, п.7.6.2)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LocalRelayProvider  — собственный Postfix/Maddy (резерв)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FailoverProvider    — переключение по circuit breaker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Поток: запрос -&gt; enqueue -&gt; Celery task -&gt; provider.send() -&gt; лог в БД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max_retries=3, autoretry_for=(SMTPException,))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deliver(self, message_id: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 = EmailMessage.objects.get(pk=message_id, status=PENDING)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provider = resolve_provider(settings.EMAIL_PROVIDER)   # конфиг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receipt = provider.send(msg)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msg.mark_sent(receipt.provider_message_id)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Письма логируются локально: тело, статус, provider_id, время (п.7.6.5)</ns0:t>
      </ns0:r>
    </ns0:p>
    <ns0:p>
      <ns0:pPr/>
      <ns0:r>
        <ns0:rPr>
          <ns0:b/>
          <ns0:bCs/>
        </ns0:rPr>
        <ns0:t xml:space="preserve">7.6.4. Ограничения Яндекс и план резерва</ns0:t>
      </ns0:r>
    </ns0:p>
    <ns0:p>
      <ns0:pPr/>
      <ns0:r>
        <ns0:rPr/>
        <ns0:t xml:space="preserve">Решение заказчика — использовать Яндекс. Ограничения провайдера фиксируются явно, чтобы резервирование не оказалось сюрпризом на этапе 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Ограничение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Следствие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Митигация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Суточная квота отправки на учётную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При росте базы пользователей риск отказа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Мониторинг остатка квоты; алерт при достижении 70%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Антиспам-политика Яндекса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Письма без SPF/DKIM уходят в спам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Обязательные DNS-записи (п.7.6.5); прогрев домена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Яндекс 360 платный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Затраты растут с числом доменов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Один домен отправки на всю платформу (no-reply@), а не по домену на клиента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Зависимость от одного провайдера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Отказоустойчивость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FailoverProvider переключается на локальный relay по конфигурации</ns0:t>
            </ns0:r>
          </ns0:p>
        </ns0:tc>
      </ns0:tr>
    </ns0:tbl>
    <ns0:p>
      <ns0:pPr/>
      <ns0:r>
        <ns0:rPr/>
        <ns0:t xml:space="preserve">Если квоты недостаточно для бета-беты, порядок действий: (1) включить локальный relay как основной, (2) подключить Mailganer как альтернативу — интерфейс EmailProvider не меняется, переключение выполняется конфигурацией, код не затрагивается.</ns0:t>
      </ns0:r>
    </ns0:p>
    <ns0:p>
      <ns0:pPr/>
      <ns0:r>
        <ns0:rPr>
          <ns0:b/>
          <ns0:bCs/>
        </ns0:rPr>
        <ns0:t xml:space="preserve">7.6.5. Требования к домену и доставляемости</ns0:t>
      </ns0:r>
    </ns0:p>
    <ns0:p>
      <ns0:pPr>
        <ns0:numPr>
          <ns0:ilvl ns0:val="0"/>
          <ns0:numId ns0:val="201"/>
        </ns0:numPr>
      </ns0:pPr>
      <ns0:r>
        <ns0:rPr/>
        <ns0:t xml:space="preserve">DNS-записи: SPF с указанием Яндекса, DKIM от Яндекс 360, DMARC с политикой quarantine</ns0:t>
      </ns0:r>
    </ns0:p>
    <ns0:p>
      <ns0:pPr>
        <ns0:numPr>
          <ns0:ilvl ns0:val="0"/>
          <ns0:numId ns0:val="201"/>
        </ns0:numPr>
      </ns0:pPr>
      <ns0:r>
        <ns0:rPr/>
        <ns0:t xml:space="preserve">Прогрев домена отправки: постепенное увеличение объёма, а не запуск с тысяч писем</ns0:t>
      </ns0:r>
    </ns0:p>
    <ns0:p>
      <ns0:pPr>
        <ns0:numPr>
          <ns0:ilvl ns0:val="0"/>
          <ns0:numId ns0:val="201"/>
        </ns0:numPr>
      </ns0:pPr>
      <ns0:r>
        <ns0:rPr/>
        <ns0:t xml:space="preserve">Заголовки List-Unsubscribe и List-ID обязательны</ns0:t>
      </ns0:r>
    </ns0:p>
    <ns0:p>
      <ns0:pPr>
        <ns0:numPr>
          <ns0:ilvl ns0:val="0"/>
          <ns0:numId ns0:val="201"/>
        </ns0:numPr>
      </ns0:pPr>
      <ns0:r>
        <ns0:rPr/>
        <ns0:t xml:space="preserve">Обратная запись DNS (PTR) для адреса отправки</ns0:t>
      </ns0:r>
    </ns0:p>
    <ns0:p>
      <ns0:pPr>
        <ns0:numPr>
          <ns0:ilvl ns0:val="0"/>
          <ns0:numId ns0:val="201"/>
        </ns0:numPr>
      </ns0:pPr>
      <ns0:r>
        <ns0:rPr/>
        <ns0:t xml:space="preserve">Все письма содержат физический адрес отправителя (требование законодательства о рекламе и рассылках)</ns0:t>
      </ns0:r>
    </ns0:p>
    <ns0:p>
      <ns0:pPr/>
      <ns0:r>
        <ns0:rPr>
          <ns0:b/>
          <ns0:bCs/>
        </ns0:rPr>
        <ns0:t xml:space="preserve">7.6.6. Шаблоны писем:</ns0:t>
      </ns0:r>
    </ns0:p>
    <ns0:p>
      <ns0:pPr>
        <ns0:numPr>
          <ns0:ilvl ns0:val="0"/>
          <ns0:numId ns0:val="202"/>
        </ns0:numPr>
      </ns0:pPr>
      <ns0:r>
        <ns0:rPr/>
        <ns0:t xml:space="preserve">reset_password — ссылка одноразовая, срок действия 60 минут</ns0:t>
      </ns0:r>
    </ns0:p>
    <ns0:p>
      <ns0:pPr>
        <ns0:numPr>
          <ns0:ilvl ns0:val="0"/>
          <ns0:numId ns0:val="202"/>
        </ns0:numPr>
      </ns0:pPr>
      <ns0:r>
        <ns0:rPr/>
        <ns0:t xml:space="preserve">verify_email — срок действия 24 часа</ns0:t>
      </ns0:r>
    </ns0:p>
    <ns0:p>
      <ns0:pPr>
        <ns0:numPr>
          <ns0:ilvl ns0:val="0"/>
          <ns0:numId ns0:val="202"/>
        </ns0:numPr>
      </ns0:pPr>
      <ns0:r>
        <ns0:rPr/>
        <ns0:t xml:space="preserve">new_login_alert — уведомление о входе с нового устройства</ns0:t>
      </ns0:r>
    </ns0:p>
    <ns0:p>
      <ns0:pPr>
        <ns0:numPr>
          <ns0:ilvl ns0:val="0"/>
          <ns0:numId ns0:val="202"/>
        </ns0:numPr>
      </ns0:pPr>
      <ns0:r>
        <ns0:rPr/>
        <ns0:t xml:space="preserve">security_change — смена пароля или email</ns0:t>
      </ns0:r>
    </ns0:p>
    <ns0:p>
      <ns0:pPr>
        <ns0:numPr>
          <ns0:ilvl ns0:val="0"/>
          <ns0:numId ns0:val="202"/>
        </ns0:numPr>
      </ns0:pPr>
      <ns0:r>
        <ns0:rPr/>
        <ns0:t xml:space="preserve">order_created, payment_receipt — транзакционные письма</ns0:t>
      </ns0:r>
    </ns0:p>
    <ns0:p>
      <ns0:pPr>
        <ns0:numPr>
          <ns0:ilvl ns0:val="0"/>
          <ns0:numId ns0:val="202"/>
        </ns0:numPr>
      </ns0:pPr>
      <ns0:r>
        <ns0:rPr/>
        <ns0:t xml:space="preserve">sync_error — ошибка синхронизации с 1С</ns0:t>
      </ns0:r>
    </ns0:p>
    <ns0:p>
      <ns0:pPr/>
      <ns0:r>
        <ns0:rPr/>
        <ns0:t xml:space="preserve">Требования: HTML-версия обязательна, plain-text fallback; шаблоны в файлах локализации (п.4.5.1); поддержка двух языков RU и EN.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 19, уникальный UI, нейтральный хром редактора)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локальный relay при недоступности SMTP Яндекса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Нейтральная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Aura — только при перетаскивании элемента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Яндекс 360 (почта для бизнеса, SMTP-релей): от 0 ₽ при своём домене; тарифы зависят от числа пользователей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локальный relay (Postfix или 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Нейтральная палитра «Golden Sand» с уникальным Aura — только при перетаскивании элементаом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 xml:space="preserve">Разрешены только библиотеки с пермиссивными лицензиями: MIT, Apache 2.0, BSD. Исключение: psycopg (LGPL-3.0-only) — драйвер PostgreSQL для Django, решение заказчика от 02.10.2026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Яндекс 360 — основной провайдер (российский резидент, серверы в РФ, 152-ФЗ, трансграничная передача исключена)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локальный relay (Postfix или 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п.7.6.4. Mailganer — резервный вариант при нехватке квоты Яндекса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