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Тёплый песочный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Палитра редактора: нейтральный серый хром + золото как бренд-акцент. «Golden Sand» сохранён в brand-гайде и на публичном сайте, но не в редакторе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Визуальный стиль: Aura — только при перетаскивании элемента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 Яндекс 360 SMTP (основной) + локальный relay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с Aura — только при перетаскивании элементаом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Фон: #F7F8F9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Панели: #FFFFFF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Акцент: #D9A441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Вторичный: #7E5A12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 xml:space="preserve">Текст: #1A1C1E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 xml:space="preserve">Мягкий текст: #5B6169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 xml:space="preserve">Aura — только при перетаскивании элемента: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🆕 5.1. Палитра: нейтральный хром и золотой акцент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 xml:space="preserve">HEX (светлая тема)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 xml:space="preserve">Фон холста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 xml:space="preserve">Нейтральный светло-серый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 xml:space="preserve">#F7F8F9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 xml:space="preserve">Холст редактора. Нейтральный, чтобы не тинтить пользовательский дизайн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 xml:space="preserve"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 xml:space="preserve">Чистый белый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 xml:space="preserve">#FFFFFF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 xml:space="preserve">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 xml:space="preserve">Акцент (заливка)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 xml:space="preserve">Золото бренда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 xml:space="preserve">#D9A441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 xml:space="preserve">CTA-кнопки и активные состояния. Только точечно, не заливает площади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 xml:space="preserve">Акцент (текст)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 xml:space="preserve">Тёмное золото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 xml:space="preserve">#7E5A12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 xml:space="preserve">Ссылки и текст акцентных элементов на хроме (5.88:1 AA)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 xml:space="preserve"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 xml:space="preserve">Нейтральный почти-чёрный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 xml:space="preserve">#1A1C1E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 xml:space="preserve">Заголовки, основной текст (16.07:1 AAA)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 xml:space="preserve">Вторичный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 xml:space="preserve">Нейтральный серый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 xml:space="preserve">#5B6169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 xml:space="preserve">Подписи, вторичный текст (5.88:1 AA)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 xml:space="preserve"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 xml:space="preserve">Нейтральная полупрозрачная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 xml:space="preserve">rgba(20, 22, 26, 0.10)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 xml:space="preserve">Тонкие разделители; в тёмной теме — светлый полупрозрачный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 xml:space="preserve"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 xml:space="preserve">Нейтральная 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 xml:space="preserve">rgba(15, 16, 18,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 xml:space="preserve">Мягкие тени без ореола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 xml:space="preserve">Aura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 xml:space="preserve">rgba(217, 164, 65, 0.9)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 xml:space="preserve">Только при перетаскивании элемента, не постоянно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 xml:space="preserve"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 xml:space="preserve">Свечение золота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 xml:space="preserve">rgba(217, 164, 65, 0.28)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 xml:space="preserve">Только при работе AI-ассистента, не постоянно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 xml:space="preserve">Тема: две полноценные — светлая и тёмная. Тёмная подобрана отдельно, а не получена инверсией; выбор сохраняется в профиле пользователя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Свечение применяется только к перетаскиваемому элементу и активному инструменту. Постоянного декоративного свечения нет: ореол мешает оценивать контраст чужого дизайна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Анимация активности (pulse), период 2.4 секунды. Отключается при prefers-reduced-motion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 xml:space="preserve">При наведении меняется обводка, без ореола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Свечение появляется только пока AI-ассистент формирует ответ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filter: blur(40px)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 xml:space="preserve">Создаёт ощущение работающего процесса, а не постоянного декора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>
          <ns0:b/>
          <ns0:bCs/>
        </ns0:rPr>
        <ns0:t xml:space="preserve">🆕 5.1.1. Доступность палитры: измеренный контраст и цветовые роли</ns0:t>
      </ns0:r>
    </ns0:p>
    <ns0:p>
      <ns0:pPr/>
      <ns0:r>
        <ns0:rPr/>
        <ns0:t xml:space="preserve">Проверка охватывает обе темы. Значения получены расчётом относительной яркости. Проверка воспроизводима: docs/check-contrast.mjs, 40 пар (20 на тему), все проходят. Значения хранятся в docs/palette.json — единственном источнике, чтобы скрипт и токены не расходились.</ns0:t>
      </ns0:r>
    </ns0:p>
    <ns0:p>
      <ns0:pPr/>
      <ns0:r>
        <ns0:rPr>
          <ns0:b/>
          <ns0:bCs/>
        </ns0:rPr>
        <ns0:t xml:space="preserve">Замер отклонённой палитры «Golden Sand» — что не работало и почему решение изменино: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— текст на акценте нечитаем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Заливка активной кнопки #AE9066 с белым текстом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2.62:1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Предупреждение #B8873C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2.79:1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приглушённый #8A6A3A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Успех #5C7A4E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4.21:1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Инфо #5B7186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4.41:1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для обычного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 — корректно</ns0:t>
            </ns0:r>
          </ns0:p>
        </ns0:tc>
      </ns0:tr>
    </ns0:tbl>
    <ns0:p>
      <ns0:pPr/>
      <ns0:r>
        <ns0:rPr>
          <ns0:b/>
          <ns0:bCs/>
        </ns0:rPr>
        <ns0:t xml:space="preserve">Итоговая шкала (проверено, все пары проходят WCAG AA в обеих темах):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Роль (токен)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 (светлая / тёмная)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(AA проверен в обеих темах)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canvas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 / #15171A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Холст редактора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panel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#FFFFFF / #1F2226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Панели, карточки, модалки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 / 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 и активных состояний — НЕ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 / #E0B85C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9.56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#6B4E0F / #EFC978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7.26 / 11.37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accent-text-muted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#8A6516 / #D4A94A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Второстепенные акцентные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5.00 / 8.19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text-primary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 / #E8EAED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Основной текст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16.07 / 14.90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text-secondary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#5B6169 / #A8AEB8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Вторичный текст, подписи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 / 8.05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success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#3F6B33 / #7FA86F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Успешные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5.87 / 6.61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warning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#8A652D / 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Предупреждения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4.96 / 7.98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danger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#A4503C / #E08573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Ошибки, удаление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5.21 / 6.65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info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#3F5A70 / #7FA3C4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Информационные состояния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6.79 / 6.79 AA</ns0:t>
            </ns0:r>
          </ns0:p>
        </ns0:tc>
      </ns0:tr>
    </ns0:tbl>
    <ns0:p>
      <ns0:pPr/>
      <ns0:r>
        <ns0:rPr>
          <ns0:b/>
          <ns0:bCs/>
        </ns0:rPr>
        <ns0:t xml:space="preserve">Кнопки: заливка светлая, текст тёмный. Обратный вариант (белый текст на песочном) даёт 1.7:1 и недопустим.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Состояние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Заливка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Текст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Обычная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#D9A441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7.60:1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Наведение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#E0AE4E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#1A1C1E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8.41:1 AAA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Активная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#C9962E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#14161A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6.80:1 AA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Инверсная (тёмная заливка)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#7E5A12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#F7F8F9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5.88:1 AA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4.5:1; крупного (от 18px или 14px полужирного)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Цветовые токены разделяются по ролям: surface (заливка) и text (текст) — разные значения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перетаскивание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элементах; outline не удаляется без замены</ns0:t>
      </ns0:r>
    </ns0:p>
    <ns0:p>
      <ns0:pPr>
        <ns0:numPr>
          <ns0:ilvl ns0:val="0"/>
          <ns0:numId ns0:val="200"/>
        </ns0:numPr>
      </ns0:pPr>
      <ns0:r>
        <ns0:rPr/>
        <ns0:t xml:space="preserve">Минимальная площадь интерактивной цели — 44 на 44 пикселя (WCAG 2.5.5)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отключаются анимация «дыхания» (п.5.2) и переходы</ns0:t>
      </ns0:r>
    </ns0:p>
    <ns0:p>
      <ns0:pPr>
        <ns0:numPr>
          <ns0:ilvl ns0:val="0"/>
          <ns0:numId ns0:val="200"/>
        </ns0:numPr>
      </ns0:pPr>
      <ns0:r>
        <ns0:rPr/>
        <ns0:t xml:space="preserve">Проверка контраста запускается в CI при каждом изменении палитры — регрессия невозможна</ns0:t>
      </ns0:r>
    </ns0:p>
    <ns0:p>
      <ns0:pPr/>
      <ns0:r>
        <ns0:rPr>
          <ns0:b/>
          <ns0:bCs/>
        </ns0:rPr>
        <ns0:t xml:space="preserve">Реализация: дизайн-токены хранятся в коде (docs/design-tokens.ts), а не в Figma. Причина: токены применяются одновременно в редакторе, в сгенерированных сайтах и в экспортируемом CSS. Единый источник исключает расхождение между макетами и результатом.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EMAIL-СЕРВИС: ЯНДЕКС (решение от 30.09.2026)</ns0:t>
      </ns0:r>
    </ns0:p>
    <ns0:p>
      <ns0:pPr/>
      <ns0:r>
        <ns0:rPr>
          <ns0:b/>
          <ns0:bCs/>
        </ns0:rPr>
        <ns0:t xml:space="preserve">7.6.1. Назначение: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 и входе с нового устройства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об ошибках синхронизации с 1С</ns0:t>
      </ns0:r>
    </ns0:p>
    <ns0:p>
      <ns0:pPr/>
      <ns0:r>
        <ns0:rPr>
          <ns0:b/>
          <ns0:bCs/>
        </ns0:rPr>
        <ns0:t xml:space="preserve">7.6.2. Провайдер: Яндекс 360</ns0:t>
      </ns0:r>
    </ns0:p>
    <ns0:p>
      <ns0:pPr/>
      <ns0:r>
        <ns0:rPr/>
        <ns0:t xml:space="preserve">Письма отправляются через SMTP-релей Яндекс 360. Провайдер — российский резидент, персональные данные не покидают территорию РФ, трансграничная передача исключена.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4500"/>
        <ns0:gridCol ns0:w="4500"/>
      </ns0:tblGrid>
      <ns0:tr>
        <ns0:trPr>
          <ns0:tblHeader/>
        </ns0:trPr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Параметр</ns0:t>
            </ns0:r>
          </ns0:p>
        </ns0:tc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Значение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SMTP-сервер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smtp.yandex.ru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Порт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465 (TLS сразу) или 587 (STARTTLS)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Шифрование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TLS 1.2+ обязательно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Аутентификация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Логин домена + пароль приложения (при двухфакторной аутентификации)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Учётная запись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Выделенный адрес отправки, например no-reply@aurabuilder.ru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Формат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MIME, поддержка HTML и plain-text альтернативы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Требуемое ПО на сервере платформы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Postfix (EPL-1.0) или Maddy (MIT) как локальный relay перед Яндексом</ns0:t>
            </ns0:r>
          </ns0:p>
        </ns0:tc>
      </ns0:tr>
    </ns0:tbl>
    <ns0:p>
      <ns0:pPr/>
      <ns0:r>
        <ns0:rPr>
          <ns0:b/>
          <ns0:bCs/>
        </ns0:rPr>
        <ns0:t xml:space="preserve">7.6.3. Реализация: слой абстракции и очередь</ns0:t>
      </ns0:r>
    </ns0:p>
    <ns0:p>
      <ns0:pPr/>
      <ns0:r>
        <ns0:rPr/>
        <ns0:t xml:space="preserve">Провайдер скрыт за интерфейсом. Отправка выполняется только из фоновой очереди — синхронная отправка письма в HTTP-запросе недопустима (пользователь не должен ждать SMTP).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Реализации: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YandexSMTPProvider  — smtp.yandex.ru (основной, п.7.6.2)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LocalRelayProvider  — собственный Postfix/Maddy (резерв)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FailoverProvider    — переключение по circuit breaker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Поток: запрос -&gt; enqueue -&gt; Celery task -&gt; provider.send() -&gt; лог в БД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max_retries=3, autoretry_for=(SMTPException,))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deliver(self, message_id: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 = EmailMessage.objects.get(pk=message_id, status=PENDING)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provider = resolve_provider(settings.EMAIL_PROVIDER)   # конфиг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receipt = provider.send(msg)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msg.mark_sent(receipt.provider_message_id)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Письма логируются локально: тело, статус, provider_id, время (п.7.6.5)</ns0:t>
      </ns0:r>
    </ns0:p>
    <ns0:p>
      <ns0:pPr/>
      <ns0:r>
        <ns0:rPr>
          <ns0:b/>
          <ns0:bCs/>
        </ns0:rPr>
        <ns0:t xml:space="preserve">7.6.4. Ограничения Яндекс и план резерва</ns0:t>
      </ns0:r>
    </ns0:p>
    <ns0:p>
      <ns0:pPr/>
      <ns0:r>
        <ns0:rPr/>
        <ns0:t xml:space="preserve">Решение заказчика — использовать Яндекс. Ограничения провайдера фиксируются явно, чтобы резервирование не оказалось сюрпризом на этапе 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Ограничение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Следствие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Митигация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Суточная квота отправки на учётную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При росте базы пользователей риск отказа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Мониторинг остатка квоты; алерт при достижении 70%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Антиспам-политика Яндекса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Письма без SPF/DKIM уходят в спам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Обязательные DNS-записи (п.7.6.5); прогрев домена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Яндекс 360 платный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Затраты растут с числом доменов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Один домен отправки на всю платформу (no-reply@), а не по домену на клиента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Зависимость от одного провайдера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Отказоустойчивость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FailoverProvider переключается на локальный relay по конфигурации</ns0:t>
            </ns0:r>
          </ns0:p>
        </ns0:tc>
      </ns0:tr>
    </ns0:tbl>
    <ns0:p>
      <ns0:pPr/>
      <ns0:r>
        <ns0:rPr/>
        <ns0:t xml:space="preserve">Если квоты недостаточно для бета-беты, порядок действий: (1) включить локальный relay как основной, (2) подключить Mailganer как альтернативу — интерфейс EmailProvider не меняется, переключение выполняется конфигурацией, код не затрагивается.</ns0:t>
      </ns0:r>
    </ns0:p>
    <ns0:p>
      <ns0:pPr/>
      <ns0:r>
        <ns0:rPr>
          <ns0:b/>
          <ns0:bCs/>
        </ns0:rPr>
        <ns0:t xml:space="preserve">7.6.5. Требования к домену и доставляемости</ns0:t>
      </ns0:r>
    </ns0:p>
    <ns0:p>
      <ns0:pPr>
        <ns0:numPr>
          <ns0:ilvl ns0:val="0"/>
          <ns0:numId ns0:val="201"/>
        </ns0:numPr>
      </ns0:pPr>
      <ns0:r>
        <ns0:rPr/>
        <ns0:t xml:space="preserve">DNS-записи: SPF с указанием Яндекса, DKIM от Яндекс 360, DMARC с политикой quarantine</ns0:t>
      </ns0:r>
    </ns0:p>
    <ns0:p>
      <ns0:pPr>
        <ns0:numPr>
          <ns0:ilvl ns0:val="0"/>
          <ns0:numId ns0:val="201"/>
        </ns0:numPr>
      </ns0:pPr>
      <ns0:r>
        <ns0:rPr/>
        <ns0:t xml:space="preserve">Прогрев домена отправки: постепенное увеличение объёма, а не запуск с тысяч писем</ns0:t>
      </ns0:r>
    </ns0:p>
    <ns0:p>
      <ns0:pPr>
        <ns0:numPr>
          <ns0:ilvl ns0:val="0"/>
          <ns0:numId ns0:val="201"/>
        </ns0:numPr>
      </ns0:pPr>
      <ns0:r>
        <ns0:rPr/>
        <ns0:t xml:space="preserve">Заголовки List-Unsubscribe и List-ID обязательны</ns0:t>
      </ns0:r>
    </ns0:p>
    <ns0:p>
      <ns0:pPr>
        <ns0:numPr>
          <ns0:ilvl ns0:val="0"/>
          <ns0:numId ns0:val="201"/>
        </ns0:numPr>
      </ns0:pPr>
      <ns0:r>
        <ns0:rPr/>
        <ns0:t xml:space="preserve">Обратная запись DNS (PTR) для адреса отправки</ns0:t>
      </ns0:r>
    </ns0:p>
    <ns0:p>
      <ns0:pPr>
        <ns0:numPr>
          <ns0:ilvl ns0:val="0"/>
          <ns0:numId ns0:val="201"/>
        </ns0:numPr>
      </ns0:pPr>
      <ns0:r>
        <ns0:rPr/>
        <ns0:t xml:space="preserve">Все письма содержат физический адрес отправителя (требование законодательства о рекламе и рассылках)</ns0:t>
      </ns0:r>
    </ns0:p>
    <ns0:p>
      <ns0:pPr/>
      <ns0:r>
        <ns0:rPr>
          <ns0:b/>
          <ns0:bCs/>
        </ns0:rPr>
        <ns0:t xml:space="preserve">7.6.6. Шаблоны писем:</ns0:t>
      </ns0:r>
    </ns0:p>
    <ns0:p>
      <ns0:pPr>
        <ns0:numPr>
          <ns0:ilvl ns0:val="0"/>
          <ns0:numId ns0:val="202"/>
        </ns0:numPr>
      </ns0:pPr>
      <ns0:r>
        <ns0:rPr/>
        <ns0:t xml:space="preserve">reset_password — ссылка одноразовая, срок действия 60 минут</ns0:t>
      </ns0:r>
    </ns0:p>
    <ns0:p>
      <ns0:pPr>
        <ns0:numPr>
          <ns0:ilvl ns0:val="0"/>
          <ns0:numId ns0:val="202"/>
        </ns0:numPr>
      </ns0:pPr>
      <ns0:r>
        <ns0:rPr/>
        <ns0:t xml:space="preserve">verify_email — срок действия 24 часа</ns0:t>
      </ns0:r>
    </ns0:p>
    <ns0:p>
      <ns0:pPr>
        <ns0:numPr>
          <ns0:ilvl ns0:val="0"/>
          <ns0:numId ns0:val="202"/>
        </ns0:numPr>
      </ns0:pPr>
      <ns0:r>
        <ns0:rPr/>
        <ns0:t xml:space="preserve">new_login_alert — уведомление о входе с нового устройства</ns0:t>
      </ns0:r>
    </ns0:p>
    <ns0:p>
      <ns0:pPr>
        <ns0:numPr>
          <ns0:ilvl ns0:val="0"/>
          <ns0:numId ns0:val="202"/>
        </ns0:numPr>
      </ns0:pPr>
      <ns0:r>
        <ns0:rPr/>
        <ns0:t xml:space="preserve">security_change — смена пароля или email</ns0:t>
      </ns0:r>
    </ns0:p>
    <ns0:p>
      <ns0:pPr>
        <ns0:numPr>
          <ns0:ilvl ns0:val="0"/>
          <ns0:numId ns0:val="202"/>
        </ns0:numPr>
      </ns0:pPr>
      <ns0:r>
        <ns0:rPr/>
        <ns0:t xml:space="preserve">order_created, payment_receipt — транзакционные письма</ns0:t>
      </ns0:r>
    </ns0:p>
    <ns0:p>
      <ns0:pPr>
        <ns0:numPr>
          <ns0:ilvl ns0:val="0"/>
          <ns0:numId ns0:val="202"/>
        </ns0:numPr>
      </ns0:pPr>
      <ns0:r>
        <ns0:rPr/>
        <ns0:t xml:space="preserve">sync_error — ошибка синхронизации с 1С</ns0:t>
      </ns0:r>
    </ns0:p>
    <ns0:p>
      <ns0:pPr/>
      <ns0:r>
        <ns0:rPr/>
        <ns0:t xml:space="preserve">Требования: HTML-версия обязательна, plain-text fallback; шаблоны в файлах локализации (п.4.5.1); поддержка двух языков RU и EN.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локальный relay при недоступности SMTP Яндекса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Нейтральная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Aura — только при перетаскивании элемента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Яндекс 360 (почта для бизнеса, SMTP-релей): от 0 ₽ при своём домене; тарифы зависят от числа пользователей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локальный relay (Postfix или 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Нейтральная палитра «Golden Sand» с уникальным Aura — только при перетаскивании элементаом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Яндекс 360 — основной провайдер (российский резидент, серверы в РФ, 152-ФЗ, трансграничная передача исключена)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локальный relay (Postfix или 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п.7.6.4. Mailganer — резервный вариант при нехватке квоты Яндекса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