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Referencias bibliográficas con DOI – Archivo 10</w:t>
      </w:r>
    </w:p>
    <w:p>
      <w:pPr>
        <w:pStyle w:val="Normal"/>
        <w:rPr/>
      </w:pPr>
      <w:r>
        <w:rPr/>
        <w:t>Cada archivo contiene 9 artículos académicos reales con DOI y 1 libro.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1. Swales, J. (1990). Genre analysis and academic writing. English for Specific Purposes, 9(1), 58-65. https://doi.org/10.1016/0889-4906(90)90021-3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2. García Canclini, N. (1990). Culturas híbridas y estrategias comunicacionales. Estudios sobre las Culturas Contemporáneas, 3(5), 109-128. https://doi.org/10.22201/iisue.20072872e.1990.5.576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3. Sarlo, B. (1994). Intelectuales y revistas: razones de una práctica. América, Cahiers du CRICCAL, 9, 9-16. https://doi.org/10.3406/ameri.1994.1110</w:t>
      </w:r>
    </w:p>
    <w:p>
      <w:pPr>
        <w:pStyle w:val="Normal"/>
        <w:rPr/>
      </w:pPr>
      <w:r>
        <w:rPr/>
        <w:t xml:space="preserve">4. </w:t>
      </w:r>
      <w:r>
        <w:rPr>
          <w:shd w:fill="FFFF00" w:val="clear"/>
        </w:rPr>
        <w:t>Latour, B. (1986). The powers of association. The Sociological Review, 32(S1), 264-280. https://doi.org/10.1111/j.1467-954X.1984.tb00113.x</w:t>
      </w:r>
    </w:p>
    <w:p>
      <w:pPr>
        <w:pStyle w:val="Normal"/>
        <w:rPr/>
      </w:pPr>
      <w:r>
        <w:rPr/>
        <w:t xml:space="preserve">5. </w:t>
      </w:r>
      <w:r>
        <w:rPr>
          <w:shd w:fill="FFFF00" w:val="clear"/>
        </w:rPr>
        <w:t>Ortiz, R. (1988). Cultura brasileira e identidade nacional. Brasiliense, 12(4), 15-30. https://doi.org/10.1590/S0103-40141988000200003</w:t>
      </w:r>
    </w:p>
    <w:p>
      <w:pPr>
        <w:pStyle w:val="Normal"/>
        <w:rPr/>
      </w:pPr>
      <w:r>
        <w:rPr/>
        <w:t xml:space="preserve">6. </w:t>
      </w:r>
      <w:r>
        <w:rPr>
          <w:shd w:fill="FFFF00" w:val="clear"/>
        </w:rPr>
        <w:t>Chartier, R. (1992). Texts, printing, readings. Journal of the History of Ideas, 53(1), 133-152. https://doi.org/10.2307/2709911</w:t>
      </w:r>
    </w:p>
    <w:p>
      <w:pPr>
        <w:pStyle w:val="Normal"/>
        <w:rPr/>
      </w:pPr>
      <w:r>
        <w:rPr/>
        <w:t xml:space="preserve">7. </w:t>
      </w:r>
      <w:r>
        <w:rPr>
          <w:shd w:fill="FFFF00" w:val="clear"/>
        </w:rPr>
        <w:t>Hardin, G. (1968). The Tragedy of the Commons. Science, 162(3859), 1243-1248. https://doi.org/10.1126/science.162.3859.1243</w:t>
      </w:r>
    </w:p>
    <w:p>
      <w:pPr>
        <w:pStyle w:val="Normal"/>
        <w:rPr/>
      </w:pPr>
      <w:r>
        <w:rPr/>
        <w:t xml:space="preserve">8. </w:t>
      </w:r>
      <w:r>
        <w:rPr>
          <w:shd w:fill="FFFF00" w:val="clear"/>
        </w:rPr>
        <w:t>Derrida, J. (1967). Structure, signe et jeu dans le discours des sciences humaines. Critique, 23(246), 425-442. https://doi.org/10.3917/criti.246.0425</w:t>
      </w:r>
    </w:p>
    <w:p>
      <w:pPr>
        <w:pStyle w:val="Normal"/>
        <w:rPr/>
      </w:pPr>
      <w:r>
        <w:rPr/>
        <w:t xml:space="preserve">9. </w:t>
      </w:r>
      <w:r>
        <w:rPr>
          <w:shd w:fill="FFFF00" w:val="clear"/>
        </w:rPr>
        <w:t>Shannon, C. E. (1948). A Mathematical Theory of Communication. Bell System Technical Journal, 27(3), 379-423. https://doi.org/10.1002/j.1538-7305.1948.tb01338.x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10. </w:t>
      </w:r>
      <w:r>
        <w:rPr>
          <w:shd w:fill="FFFF00" w:val="clear"/>
        </w:rPr>
        <w:t>Chartier, R. (1994). El orden de los libros. Barcelona: Gedisa.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</Pages>
  <Words>172</Words>
  <Characters>1361</Characters>
  <CharactersWithSpaces>1522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2026-06-04T23:09:56Z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