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3F6B"/>
          <w:sz w:val="64"/>
          <w:szCs w:val="64"/>
        </w:rPr>
        <w:t xml:space="preserve">Soli-boy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Estensione alle piattaforme mobile (Android e iOS)</w:t>
      </w:r>
    </w:p>
    <w:p>
      <w:pPr>
        <w:pBdr>
          <w:bottom w:val="single" w:color="2E6BB8" w:sz="12" w:space="6"/>
        </w:pBdr>
        <w:jc w:val="center"/>
      </w:pPr>
      <w:r>
        <w:t xml:space="preserve"/>
      </w:r>
    </w:p>
    <w:p>
      <w:pPr>
        <w:spacing w:after="0" w:before="200"/>
        <w:jc w:val="center"/>
      </w:pPr>
      <w:r>
        <w:rPr>
          <w:b/>
          <w:bCs/>
          <w:sz w:val="32"/>
          <w:szCs w:val="32"/>
        </w:rPr>
        <w:t xml:space="preserve">Documento Funzionale Integrativo</w:t>
      </w:r>
    </w:p>
    <w:p>
      <w:pPr>
        <w:spacing w:after="0" w:before="60"/>
        <w:jc w:val="center"/>
      </w:pPr>
      <w:r>
        <w:rPr>
          <w:color w:val="595959"/>
          <w:sz w:val="22"/>
          <w:szCs w:val="22"/>
        </w:rPr>
        <w:t xml:space="preserve">Allegato alle Specifiche Funzionali v1.0</w:t>
      </w:r>
    </w:p>
    <w:p>
      <w:pPr>
        <w:spacing w:after="0" w:before="1400"/>
        <w:jc w:val="center"/>
      </w:pPr>
      <w:r>
        <w:rPr>
          <w:color w:val="595959"/>
          <w:sz w:val="22"/>
          <w:szCs w:val="22"/>
        </w:rPr>
        <w:t xml:space="preserve">Versione 1.0 — 1 giugno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Scopo dell'integrazione</w:t>
      </w:r>
    </w:p>
    <w:p>
      <w:pPr>
        <w:spacing w:after="120"/>
      </w:pPr>
      <w:r>
        <w:t xml:space="preserve">Il presente documento integra le Specifiche Funzionali di Soli-boy (v1.0) estendendo l'ambito del prodotto alle piattaforme mobile. Oltre alle versioni web e desktop già previste, il prodotto dovrà essere disponibile come applicazione mobile nativa su Android e iOS.</w:t>
      </w:r>
    </w:p>
    <w:p>
      <w:pPr>
        <w:spacing w:after="120"/>
      </w:pPr>
      <w:r>
        <w:t xml:space="preserve">L'obiettivo è offrire la medesima esperienza di emulazione — caricamento delle proprie ROM, libreria, esecuzione, salvataggi — adattata ai dispositivi touch, mantenendo coerenza funzionale e visiva con le altre versioni grazie al design system solids.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EA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 terminologica: </w:t>
            </w:r>
            <w:r>
              <w:t xml:space="preserve">la richiesta originaria citava “Android e macOS”. Poiché macOS è un sistema desktop, in questo documento le piattaforme mobile sono intese come Android e iOS (il sistema mobile di Apple). Un eventuale target desktop macOS rientra nella distribuzione desktop Electron già descritta nelle specifiche di base.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Piattaforme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Piattaforma</w:t>
            </w:r>
          </w:p>
        </w:tc>
        <w:tc>
          <w:tcPr>
            <w:tcW w:type="dxa" w:w="4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Distribuzione prevista</w:t>
            </w:r>
          </w:p>
        </w:tc>
      </w:tr>
      <w:tr>
        <w:tc>
          <w:tcPr>
            <w:tcW w:type="dxa" w:w="18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4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Android (versioni supportate correnti)</w:t>
            </w:r>
          </w:p>
        </w:tc>
        <w:tc>
          <w:tcPr>
            <w:tcW w:type="dxa" w:w="3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Play Store / APK</w:t>
            </w:r>
          </w:p>
        </w:tc>
      </w:tr>
      <w:tr>
        <w:tc>
          <w:tcPr>
            <w:tcW w:type="dxa" w:w="18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4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iOS (iPhone, eventualmente iPad)</w:t>
            </w:r>
          </w:p>
        </w:tc>
        <w:tc>
          <w:tcPr>
            <w:tcW w:type="dxa" w:w="3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Apple App Store</w:t>
            </w:r>
          </w:p>
        </w:tc>
      </w:tr>
      <w:tr>
        <w:tc>
          <w:tcPr>
            <w:tcW w:type="dxa" w:w="18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Desktop</w:t>
            </w:r>
          </w:p>
        </w:tc>
        <w:tc>
          <w:tcPr>
            <w:tcW w:type="dxa" w:w="4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Windows, macOS, Linux</w:t>
            </w:r>
          </w:p>
        </w:tc>
        <w:tc>
          <w:tcPr>
            <w:tcW w:type="dxa" w:w="3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Già coperta da Electron (specifiche di base)</w:t>
            </w:r>
          </w:p>
        </w:tc>
      </w:tr>
      <w:tr>
        <w:tc>
          <w:tcPr>
            <w:tcW w:type="dxa" w:w="18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4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Browser moderni</w:t>
            </w:r>
          </w:p>
        </w:tc>
        <w:tc>
          <w:tcPr>
            <w:tcW w:type="dxa" w:w="3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Già coperta (specifiche di base)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Le versioni mobile sono considerate prioritarie al pari della versione desktop; le versioni web e desktop restano invariate rispetto alle specifiche di base.</w:t>
      </w:r>
    </w:p>
    <w:p>
      <w:r>
        <w:br w:type="page"/>
      </w:r>
    </w:p>
    <w:p>
      <w:pPr>
        <w:pStyle w:val="Heading1"/>
      </w:pPr>
      <w:r>
        <w:t xml:space="preserve">3. Approccio tecnologico</w:t>
      </w:r>
    </w:p>
    <w:p>
      <w:pPr>
        <w:spacing w:after="120"/>
      </w:pPr>
      <w:r>
        <w:t xml:space="preserve">Per massimizzare il riuso della codebase esistente (React + TypeScript + solids) ed essere coerenti con l'obiettivo di velocità di sviluppo, si valutano due strategie principali per il confezionamento mobile.</w:t>
      </w:r>
    </w:p>
    <w:p>
      <w:pPr>
        <w:pStyle w:val="Heading2"/>
      </w:pPr>
      <w:r>
        <w:t xml:space="preserve">3.1 Opzione A — Capacitor (consigliata)</w:t>
      </w:r>
    </w:p>
    <w:p>
      <w:pPr>
        <w:spacing w:after="120"/>
      </w:pPr>
      <w:r>
        <w:t xml:space="preserve">Capacitor incapsula la SPA web esistente in un contenitore nativo per Android e iOS, esponendo le API native (filesystem, gamepad, haptics) tramite plugin. È la via più rapida perché riutilizza quasi integralmente il codice React e i componenti solids già sviluppati.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Riuso massimo della codebase web e del design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Accesso al filesystem nativo per ROM, BIOS e salvataggi tramite plugin.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Un'unica logica applicativa condivisa tra web, desktop (Electron) e mobile (Capacitor).</w:t>
      </w:r>
    </w:p>
    <w:p>
      <w:pPr>
        <w:pStyle w:val="Heading2"/>
      </w:pPr>
      <w:r>
        <w:t xml:space="preserve">3.2 Opzione B — React Native</w:t>
      </w:r>
    </w:p>
    <w:p>
      <w:pPr>
        <w:spacing w:after="120"/>
      </w:pPr>
      <w:r>
        <w:t xml:space="preserve">Una riscrittura dell'interfaccia in React Native offrirebbe maggiore integrazione nativa, ma comporterebbe la perdita del riuso diretto dei componenti web solids e tempi più lunghi. È sconsigliata in prima battuta data la priorità sulla velocità.</w:t>
      </w:r>
    </w:p>
    <w:p>
      <w:pPr>
        <w:pStyle w:val="Heading2"/>
      </w:pPr>
      <w:r>
        <w:t xml:space="preserve">3.3 Emulazione su mobile</w:t>
      </w:r>
    </w:p>
    <w:p>
      <w:pPr>
        <w:spacing w:after="120"/>
      </w:pPr>
      <w:r>
        <w:t xml:space="preserve">I core EmulatorJS (WASM) restano il motore di emulazione anche su mobile, eseguiti all'interno del WebView del contenitore Capacitor. Vanno verificate le prestazioni su dispositivi di fascia media e l'inclusione locale dei core per il funzionamento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EA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Vincolo iOS: </w:t>
            </w:r>
            <w:r>
              <w:t xml:space="preserve">su iOS l'esecuzione di WebAssembly avviene tramite il motore WebView di sistema; vanno verificati i limiti di JIT e prestazioni. Le politiche dell'App Store sugli emulatori sono cambiate di recente e vanno validate in fase di pubblicazione, assicurandosi che l'app non distribuisca contenuti protetti.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Requisiti funzionali mobile</w:t>
      </w:r>
    </w:p>
    <w:p>
      <w:pPr>
        <w:spacing w:after="120"/>
      </w:pPr>
      <w:r>
        <w:t xml:space="preserve">Requisiti aggiuntivi identificati con prefisso RFM. I requisiti funzionali di base (RF-01…RF-25) restano validi e si applicano anche al mobile, salvo gli adattamenti seguenti.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60"/>
        <w:gridCol w:w="1100"/>
      </w:tblGrid>
      <w:tr>
        <w:trPr>
          <w:tblHeader/>
        </w:trP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RFM-01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fornisce controlli touch su schermo (D-pad e pulsanti virtuali) per ogni piattaforma emulata.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RFM-02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 controlli touch sono configurabili per posizione, dimensione e opacità.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RFM-03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supporta controller fisici Bluetooth tramite la Gamepad API.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RFM-04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carica ROM e BIOS dal file system del dispositivo e dai provider cloud di sistema.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RFM-05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L'interfaccia è responsiva e ottimizzata per orientamento verticale e orizzontale.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RFM-06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gestisce correttamente sospensione e ripresa, mettendo in pausa l'emulazione in background.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RFM-07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Salvataggi e libreria sono persistiti localmente sul dispositivo.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RFM-08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offre feedback aptico opzionale sugli input touch.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</w:tr>
      <w:tr>
        <w:tc>
          <w:tcPr>
            <w:tcW w:type="dxa" w:w="1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RFM-09</w:t>
            </w:r>
          </w:p>
        </w:tc>
        <w:tc>
          <w:tcPr>
            <w:tcW w:type="dxa" w:w="7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L'app rispetta le aree sicure (notch, barre di sistema) su entrambe le piattaforme.</w:t>
            </w:r>
          </w:p>
        </w:tc>
        <w:tc>
          <w:tcPr>
            <w:tcW w:type="dxa" w:w="11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Requisiti non funzionali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RNFM-01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Prestazioni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Mantenere velocità di gioco fluida su dispositivi mobile di fascia media.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RNFM-02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Compatibilità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Supporto alle versioni di Android e iOS correntemente mantenute.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RNFM-03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Usabilità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Interfaccia touch conforme alle linee guida solids e alle convenzioni di ciascuna piattaforma.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RNFM-04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Batteria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Consumo energetico controllato; pausa automatica in background (RFM-06).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RNFM-05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Store compliance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Conformità ai requisiti di pubblicazione di Google Play e Apple App Store.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RNFM-06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Privacy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Dati e salvataggi restano sul dispositivo; nessun invio dei file utente a server esterni.</w:t>
            </w:r>
          </w:p>
        </w:tc>
      </w:tr>
      <w:tr>
        <w:tc>
          <w:tcPr>
            <w:tcW w:type="dxa" w:w="14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RNFM-07</w:t>
            </w:r>
          </w:p>
        </w:tc>
        <w:tc>
          <w:tcPr>
            <w:tcW w:type="dxa" w:w="19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Legale</w:t>
            </w:r>
          </w:p>
        </w:tc>
        <w:tc>
          <w:tcPr>
            <w:tcW w:type="dxa" w:w="60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Nessuna distribuzione di ROM o BIOS protetti; avviso esplicito in app.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Impatti sull'architettura</w:t>
      </w:r>
    </w:p>
    <w:p>
      <w:pPr>
        <w:spacing w:after="120"/>
      </w:pPr>
      <w:r>
        <w:t xml:space="preserve">L'aggiunta delle versioni mobile estende il modello di distribuzione condiviso. La logica applicativa, l'interfaccia React e i componenti solids restano condivisi; cambiano i contenitori di confezionamento per ciascun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Contenitore</w:t>
            </w:r>
          </w:p>
        </w:tc>
        <w:tc>
          <w:tcPr>
            <w:tcW w:type="dxa" w:w="4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Browser</w:t>
            </w:r>
          </w:p>
        </w:tc>
        <w:tc>
          <w:tcPr>
            <w:tcW w:type="dxa" w:w="4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SPA servita staticamente.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Electron</w:t>
            </w:r>
          </w:p>
        </w:tc>
        <w:tc>
          <w:tcPr>
            <w:tcW w:type="dxa" w:w="4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Filesystem nativo, core offline.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 Android</w:t>
            </w:r>
          </w:p>
        </w:tc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Capacitor</w:t>
            </w:r>
          </w:p>
        </w:tc>
        <w:tc>
          <w:tcPr>
            <w:tcW w:type="dxa" w:w="4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WebView + plugin nativi, distribuzione Play Store.</w:t>
            </w:r>
          </w:p>
        </w:tc>
      </w:tr>
      <w:tr>
        <w:tc>
          <w:tcPr>
            <w:tcW w:type="dxa" w:w="22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 iOS</w:t>
            </w:r>
          </w:p>
        </w:tc>
        <w:tc>
          <w:tcPr>
            <w:tcW w:type="dxa" w:w="26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Capacitor</w:t>
            </w:r>
          </w:p>
        </w:tc>
        <w:tc>
          <w:tcPr>
            <w:tcW w:type="dxa" w:w="4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WebView + plugin nativi, distribuzione App Store.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Componenti condivisi tra tutti i target: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Interfaccia utente React e design system solids.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Servizi di dominio (riconoscimento piattaforma, gestione sessione, mapping comandi).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Motore di emulazione EmulatorJS/WASM.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Logica di persistenza (astratta su un'interfaccia di storage adattata a IndexedDB/web e filesystem/nativo).</w:t>
      </w:r>
    </w:p>
    <w:p>
      <w:r>
        <w:br w:type="page"/>
      </w:r>
    </w:p>
    <w:p>
      <w:pPr>
        <w:pStyle w:val="Heading1"/>
      </w:pPr>
      <w:r>
        <w:t xml:space="preserve">7. Roadmap aggiornata</w:t>
      </w:r>
    </w:p>
    <w:p>
      <w:pPr>
        <w:spacing w:after="120"/>
      </w:pPr>
      <w:r>
        <w:t xml:space="preserve">La roadmap di base è estesa con le fasi mobile, da affrontare dopo il consolidamento del nucleo condiviso (MVP web).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shd w:fill="D5E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Esito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Proof of concept e MVP web (come da specifiche di base).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Nucleo condiviso funzionante.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Versione desktop Electron.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desktop multipiattaforma.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Integrazione Capacitor e controlli touch (RFM-01/02).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mobile funzionante in interno.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— Android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Ottimizzazione, test su dispositivi, pubblicazione Play Store.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Android pubblicata.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 — iOS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Validazione WebAssembly/JIT, conformità App Store, pubblicazione.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iOS pubblicata.</w:t>
            </w:r>
          </w:p>
        </w:tc>
      </w:tr>
      <w:tr>
        <w:tc>
          <w:tcPr>
            <w:tcW w:type="dxa" w:w="15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30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Rifiniture comuni (controller, aptica, import/export salvataggi).</w:t>
            </w:r>
          </w:p>
        </w:tc>
        <w:tc>
          <w:tcPr>
            <w:tcW w:type="dxa" w:w="2560"/>
            <w:tcBorders>
              <w:top w:val="single" w:color="C6D4E6" w:sz="1"/>
              <w:left w:val="single" w:color="C6D4E6" w:sz="1"/>
              <w:bottom w:val="single" w:color="C6D4E6" w:sz="1"/>
              <w:right w:val="single" w:color="C6D4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Prodotto completo su tutti i target.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Allegato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B8" w:sz="4" w:space="4"/>
      </w:pBdr>
      <w:jc w:val="right"/>
    </w:pPr>
    <w:r>
      <w:rPr>
        <w:color w:val="595959"/>
        <w:sz w:val="16"/>
        <w:szCs w:val="16"/>
      </w:rPr>
      <w:t xml:space="preserve">Soli-boy — Integrazione 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F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B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Funzionale Integrativo — Versioni Mobile</dc:title>
  <dc:creator>Soli-boy</dc:creator>
  <cp:lastModifiedBy>Un-named</cp:lastModifiedBy>
  <cp:revision>1</cp:revision>
  <dcterms:created xsi:type="dcterms:W3CDTF">2026-06-01T10:40:34.460Z</dcterms:created>
  <dcterms:modified xsi:type="dcterms:W3CDTF">2026-06-01T10:40:34.475Z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