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Oferta współpracy</w:t>
      </w:r>
    </w:p>
    <w:p>
      <w:pPr>
        <w:pStyle w:val="Subtitle"/>
        <w:keepNext/>
      </w:pPr>
      <w:r>
        <w:t>Materiały informacyjne dla produktu Plico</w:t>
      </w:r>
    </w:p>
    <w:p>
      <w:pPr/>
      <w:r>
        <w:t>Norda przygotowuje spójny zestaw materiałów dla zespołu sprzedaży. Każdy plik korzysta z tego samego układu logo, typografii i kolorów. Treść pozostaje edytowalna.</w:t>
      </w:r>
    </w:p>
    <w:p>
      <w:pPr>
        <w:pStyle w:val="Heading1"/>
        <w:keepNext/>
      </w:pPr>
      <w:r>
        <w:t>Zakres materiałów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344"/>
      </w:tblGrid>
      <w:tr>
        <w:trPr>
          <w:tblHeader/>
        </w:trPr>
        <w:tc>
          <w:tcPr>
            <w:tcW w:type="dxa" w:w="2376"/>
            <w:vAlign w:val="center"/>
            <w:shd w:fill="11243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80" w:before="180"/>
            </w:pPr>
            <w:r>
              <w:rPr>
                <w:rFonts w:ascii="DejaVu Sans" w:hAnsi="DejaVu Sans"/>
                <w:b/>
                <w:color w:val="FFFFFF"/>
                <w:sz w:val="21"/>
              </w:rPr>
              <w:t>Materiał</w:t>
            </w:r>
          </w:p>
        </w:tc>
        <w:tc>
          <w:tcPr>
            <w:tcW w:type="dxa" w:w="7344"/>
            <w:vAlign w:val="center"/>
            <w:shd w:fill="11243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80" w:before="180"/>
            </w:pPr>
            <w:r>
              <w:rPr>
                <w:rFonts w:ascii="DejaVu Sans" w:hAnsi="DejaVu Sans"/>
                <w:b/>
                <w:color w:val="FFFFFF"/>
                <w:sz w:val="21"/>
              </w:rPr>
              <w:t>Zakres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80" w:before="180"/>
            </w:pPr>
            <w:r>
              <w:rPr>
                <w:rFonts w:ascii="DejaVu Sans" w:hAnsi="DejaVu Sans"/>
                <w:b w:val="0"/>
                <w:color w:val="000000"/>
                <w:sz w:val="21"/>
              </w:rPr>
              <w:t>Prezentacja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80" w:before="180"/>
            </w:pPr>
            <w:r>
              <w:rPr>
                <w:rFonts w:ascii="DejaVu Sans" w:hAnsi="DejaVu Sans"/>
                <w:b w:val="0"/>
                <w:color w:val="000000"/>
                <w:sz w:val="21"/>
              </w:rPr>
              <w:t>Cztery układy do spotkań i ofert produktowych</w:t>
            </w:r>
          </w:p>
        </w:tc>
      </w:tr>
      <w:tr>
        <w:tc>
          <w:tcPr>
            <w:tcW w:type="dxa" w:w="2376"/>
            <w:vAlign w:val="center"/>
            <w:shd w:fill="ED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80" w:before="180"/>
            </w:pPr>
            <w:r>
              <w:rPr>
                <w:rFonts w:ascii="DejaVu Sans" w:hAnsi="DejaVu Sans"/>
                <w:b w:val="0"/>
                <w:color w:val="000000"/>
                <w:sz w:val="21"/>
              </w:rPr>
              <w:t>Dokument</w:t>
            </w:r>
          </w:p>
        </w:tc>
        <w:tc>
          <w:tcPr>
            <w:tcW w:type="dxa" w:w="7344"/>
            <w:vAlign w:val="center"/>
            <w:shd w:fill="EDF2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80" w:before="180"/>
            </w:pPr>
            <w:r>
              <w:rPr>
                <w:rFonts w:ascii="DejaVu Sans" w:hAnsi="DejaVu Sans"/>
                <w:b w:val="0"/>
                <w:color w:val="000000"/>
                <w:sz w:val="21"/>
              </w:rPr>
              <w:t>Dwustronicowa oferta z tabelą zakresu i warunkami odbioru</w:t>
            </w:r>
          </w:p>
        </w:tc>
      </w:tr>
      <w:tr>
        <w:tc>
          <w:tcPr>
            <w:tcW w:type="dxa" w:w="237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80" w:before="180"/>
            </w:pPr>
            <w:r>
              <w:rPr>
                <w:rFonts w:ascii="DejaVu Sans" w:hAnsi="DejaVu Sans"/>
                <w:b w:val="0"/>
                <w:color w:val="000000"/>
                <w:sz w:val="21"/>
              </w:rPr>
              <w:t>Identyfikacja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80" w:before="180"/>
            </w:pPr>
            <w:r>
              <w:rPr>
                <w:rFonts w:ascii="DejaVu Sans" w:hAnsi="DejaVu Sans"/>
                <w:b w:val="0"/>
                <w:color w:val="000000"/>
                <w:sz w:val="21"/>
              </w:rPr>
              <w:t>Logo producenta i produktu na jasnym lub ciemnym tle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Materiały od zespołu</w:t>
      </w:r>
    </w:p>
    <w:p>
      <w:pPr/>
      <w:r>
        <w:t>Przed rozpoczęciem pracy uzgadniamy opis produktu, odbiorców oraz listę komunikatów. Do każdego materiału przypisujemy osobę, która zatwierdzi treść.</w:t>
      </w:r>
    </w:p>
    <w:p>
      <w:pPr/>
      <w:r>
        <w:t>Opracowanie obejmuje wspólny przegląd oraz uzgodnione poprawki. Końcowy zakres i harmonogram potwierdzamy po poznaniu wszystkich materiałów.</w:t>
      </w:r>
    </w:p>
    <w:p>
      <w:r>
        <w:br w:type="page"/>
      </w:r>
    </w:p>
    <w:p>
      <w:pPr>
        <w:pStyle w:val="Title"/>
        <w:keepNext/>
      </w:pPr>
      <w:r>
        <w:t>Uzgodnienia i odbiór</w:t>
      </w:r>
    </w:p>
    <w:p>
      <w:pPr>
        <w:pStyle w:val="Heading1"/>
        <w:keepNext/>
      </w:pPr>
      <w:r>
        <w:t>Przegląd treści</w:t>
      </w:r>
    </w:p>
    <w:p>
      <w:pPr/>
      <w:r>
        <w:t>Zespół sprawdza nazwy produktu, dane kontaktowe i informacje o funkcjach. Uwagi trafiają do jednego zestawienia, aby zmiany nie powstawały w kilku sprzecznych wersjach.</w:t>
      </w:r>
    </w:p>
    <w:p>
      <w:pPr>
        <w:pStyle w:val="Heading1"/>
        <w:keepNext/>
      </w:pPr>
      <w:r>
        <w:t>Pliki edytowalne</w:t>
      </w:r>
    </w:p>
    <w:p>
      <w:pPr/>
      <w:r>
        <w:t>W ofercie teksty, nagłówki oraz tabela są natywnymi elementami Word. Prezentacja korzysta z edytowalnych obiektów PowerPoint. Logotypy mają osobne źródła SVG oraz eksporty PNG i PDF.</w:t>
      </w:r>
    </w:p>
    <w:p>
      <w:pPr>
        <w:pStyle w:val="Heading1"/>
        <w:keepNext/>
      </w:pPr>
      <w:r>
        <w:t>Warunki przekazania</w:t>
      </w:r>
    </w:p>
    <w:p>
      <w:pPr/>
      <w:r>
        <w:t>Każdy materiał ma nazwę, numer wersji i osobę odpowiedzialną. Przekazanie obejmuje uporządkowane źródła oraz krótką instrukcję stosowania znaków i kolorów.</w:t>
      </w:r>
    </w:p>
    <w:p>
      <w:pPr>
        <w:pStyle w:val="Heading1"/>
        <w:keepNext/>
      </w:pPr>
      <w:r>
        <w:t>Kontrola przed publikacją</w:t>
      </w:r>
    </w:p>
    <w:p>
      <w:pPr/>
      <w:r>
        <w:t>Sprawdzamy czytelność, działanie odnośników i zgodność z zatwierdzoną treścią. Przed drukiem potwierdzamy parametry docelowej drukarni.</w:t>
      </w:r>
    </w:p>
    <w:p>
      <w:pPr/>
      <w:r>
        <w:t>Norda i Plico to fikcyjne marki użyte w autorskim przykładzie systemu wizualnego.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123" w:left="1238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jaVu Sans">
    <w:embedRegular r:id="rIdDejaVuEmbedded" w:fontKey="{3F324E72-27E9-4DAE-A1AB-2F0F7636A2C6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DejaVu Sans" w:hAnsi="DejaVu Sans"/>
        <w:color w:val="415875"/>
        <w:sz w:val="16"/>
      </w:rPr>
      <w:t>NORDA / PLICO   Marki fikcyjne, autorski przykład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72768" cy="3604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orda-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2768" cy="36042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200"/>
    </w:pPr>
    <w:rPr>
      <w:rFonts w:ascii="DejaVu Sans" w:hAnsi="DejaVu Sans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="DejaVu Sans" w:hAnsi="DejaVu Sans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DejaVu Sans" w:hAnsi="DejaVu Sans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="DejaVu Sans" w:hAnsi="DejaVu Sans"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="DejaVu Sans" w:hAnsi="DejaVu Sans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DejaVuEmbedded" Type="http://schemas.openxmlformats.org/officeDocument/2006/relationships/font" Target="fonts/DejaVuSans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Norda i Plico — szablon oferty</dc:title>
  <dc:subject>Fikcyjne marki producenta i produktu</dc:subject>
  <dc:creator>Autorska demonstracja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