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A5F"/>
          <w:sz w:val="72"/>
          <w:szCs w:val="72"/>
        </w:rPr>
        <w:t xml:space="preserve">HOUSING</w:t>
      </w:r>
    </w:p>
    <w:p>
      <w:pPr>
        <w:spacing w:before="120"/>
        <w:jc w:val="center"/>
      </w:pPr>
      <w:r>
        <w:rPr>
          <w:color w:val="2E6FB5"/>
          <w:sz w:val="28"/>
          <w:szCs w:val="28"/>
        </w:rPr>
        <w:t xml:space="preserve">Plataforma PropTech de gestión de arriendos</w:t>
      </w:r>
    </w:p>
    <w:p>
      <w:pPr>
        <w:spacing w:before="80"/>
        <w:jc w:val="center"/>
      </w:pPr>
      <w:r>
        <w:rPr>
          <w:i/>
          <w:iCs/>
          <w:color w:val="555555"/>
          <w:sz w:val="22"/>
          <w:szCs w:val="22"/>
        </w:rPr>
        <w:t xml:space="preserve">Resumen Ejecutivo — Documento para Directorio</w:t>
      </w:r>
    </w:p>
    <w:p>
      <w:pPr>
        <w:spacing w:before="2400"/>
        <w:jc w:val="center"/>
      </w:pPr>
      <w:r>
        <w:rPr>
          <w:b/>
          <w:bCs/>
          <w:color w:val="1F3A5F"/>
          <w:sz w:val="24"/>
          <w:szCs w:val="24"/>
        </w:rPr>
        <w:t xml:space="preserve">SOLIDIT</w:t>
      </w:r>
    </w:p>
    <w:p>
      <w:pPr>
        <w:spacing w:before="60"/>
        <w:jc w:val="center"/>
      </w:pPr>
      <w:r>
        <w:rPr>
          <w:color w:val="555555"/>
          <w:sz w:val="20"/>
          <w:szCs w:val="20"/>
        </w:rPr>
        <w:t xml:space="preserve">Junio 2026 · v3 (diseño + prototipo funcional)</w:t>
      </w:r>
    </w:p>
    <w:p>
      <w:r>
        <w:br w:type="page"/>
      </w:r>
    </w:p>
    <w:p>
      <w:pPr>
        <w:pStyle w:val="Heading1"/>
      </w:pPr>
      <w:r>
        <w:t xml:space="preserve">1. Visión y oportunidad</w:t>
      </w:r>
    </w:p>
    <w:p>
      <w:pPr>
        <w:spacing w:after="120"/>
      </w:pPr>
      <w:r>
        <w:t xml:space="preserve">Housing es la evolución de los gestores de arriendo tradicionales: una plataforma web de doble vía que combina un panel de gestión avanzado para corredores de propiedades (SaaS B2B) con un portal público de publicación de propiedades (marketplace B2C), para arriendos de largo plazo (contratos anuales indexados) y corto plazo (días).</w:t>
      </w:r>
    </w:p>
    <w:p>
      <w:pPr>
        <w:spacing w:after="120"/>
      </w:pPr>
      <w:r>
        <w:t xml:space="preserve">El mercado chileno de administración de arriendos está atendido por herramientas con fallas operativas y técnicas concretas. Housing nace para resolverlas con un núcleo financiero correcto, automatización real de cobros y una experiencia simple para usuarios no técnicos.</w:t>
      </w:r>
    </w:p>
    <w:p>
      <w:pPr>
        <w:pStyle w:val="Heading1"/>
      </w:pPr>
      <w:r>
        <w:t xml:space="preserve">2. El problema y nuestra diferenciación</w:t>
      </w:r>
    </w:p>
    <w:p>
      <w:pPr>
        <w:spacing w:after="120"/>
      </w:pPr>
      <w:r>
        <w:t xml:space="preserve">A partir del levantamiento con usuarias del competidor de referencia (“Leasity”), identificamos 8 fallas críticas. Housing las convierte en diferenciadores: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680"/>
        <w:gridCol w:w="4680"/>
      </w:tblGrid>
      <w:tr>
        <w:trPr>
          <w:tblHeader/>
        </w:trPr>
        <w:tc>
          <w:tcPr>
            <w:tcW w:type="dxa" w:w="4680"/>
            <w:shd w:fill="1F3A5F" w:color="auto" w:val="clear"/>
            <w:tcMar>
              <w:top w:type="dxa" w:w="60"/>
              <w:left w:type="dxa" w:w="110"/>
              <w:bottom w:type="dxa" w:w="60"/>
              <w:right w:type="dxa" w:w="110"/>
            </w:tcMar>
            <w:vAlign w:val="center"/>
          </w:tcPr>
          <w:p>
            <w:pPr>
              <w:spacing w:after="0"/>
            </w:pPr>
            <w:r>
              <w:rPr>
                <w:b/>
                <w:bCs/>
                <w:color w:val="FFFFFF"/>
                <w:sz w:val="19"/>
                <w:szCs w:val="19"/>
              </w:rPr>
              <w:t xml:space="preserve">Falla del competidor</w:t>
            </w:r>
          </w:p>
        </w:tc>
        <w:tc>
          <w:tcPr>
            <w:tcW w:type="dxa" w:w="4680"/>
            <w:shd w:fill="1F3A5F" w:color="auto" w:val="clear"/>
            <w:tcMar>
              <w:top w:type="dxa" w:w="60"/>
              <w:left w:type="dxa" w:w="110"/>
              <w:bottom w:type="dxa" w:w="60"/>
              <w:right w:type="dxa" w:w="110"/>
            </w:tcMar>
            <w:vAlign w:val="center"/>
          </w:tcPr>
          <w:p>
            <w:pPr>
              <w:spacing w:after="0"/>
            </w:pPr>
            <w:r>
              <w:rPr>
                <w:b/>
                <w:bCs/>
                <w:color w:val="FFFFFF"/>
                <w:sz w:val="19"/>
                <w:szCs w:val="19"/>
              </w:rPr>
              <w:t xml:space="preserve">Solución Housing</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El pago se reconoce solo cuando el corredor “liquida”; genera atrasos e intereses falsos</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Detección y conciliación automática con la fecha real del pago</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No se personalizan fechas ni montos de pago</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Fechas, montos y comisiones configurables por contrato</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Sin infraestructura elástica: se cae en periodos de carga</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Arquitectura elástica; los picos no degradan el servicio</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Procesos engorrosos (una liquidación toma horas)</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Cálculo automático y UX simple para usuarios no técnicos</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Al cambiar de arrendatario se arrastran comprobantes antiguos</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Comprobantes inmutables y aislados por contrato</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Reajuste de IPC aplicado a todos los contratos el mismo día</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Reajuste de IPC en el aniversario de CADA contrato</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Sin filtros para revisar comprobantes de pago</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Historial financiero auditable y filtrable</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No se puede cerrar un arriendo sin borrar la publicación</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Ciclo de vida de contrato y publicación independientes</w:t>
            </w:r>
          </w:p>
        </w:tc>
      </w:tr>
    </w:tbl>
    <w:p>
      <w:pPr>
        <w:pStyle w:val="Heading1"/>
      </w:pPr>
      <w:r>
        <w:t xml:space="preserve">3. La propuesta Housing</w:t>
      </w:r>
    </w:p>
    <w:p>
      <w:pPr>
        <w:pStyle w:val="Heading2"/>
      </w:pPr>
      <w:r>
        <w:t xml:space="preserve">Sitio privado (SaaS B2B)</w:t>
      </w:r>
    </w:p>
    <w:p>
      <w:pPr>
        <w:pStyle w:val="ListParagraph"/>
        <w:numPr>
          <w:ilvl w:val="0"/>
          <w:numId w:val="2"/>
        </w:numPr>
        <w:spacing w:after="60"/>
      </w:pPr>
      <w:r>
        <w:t xml:space="preserve">Gestión de inventario de propiedades, contratos y partes (propietarios y arrendatarios).</w:t>
      </w:r>
    </w:p>
    <w:p>
      <w:pPr>
        <w:pStyle w:val="ListParagraph"/>
        <w:numPr>
          <w:ilvl w:val="0"/>
          <w:numId w:val="2"/>
        </w:numPr>
        <w:spacing w:after="60"/>
      </w:pPr>
      <w:r>
        <w:t xml:space="preserve">Automatización de cobros: PAC y “Pago Fácil”, con conciliación inmediata.</w:t>
      </w:r>
    </w:p>
    <w:p>
      <w:pPr>
        <w:pStyle w:val="ListParagraph"/>
        <w:numPr>
          <w:ilvl w:val="0"/>
          <w:numId w:val="2"/>
        </w:numPr>
        <w:spacing w:after="60"/>
      </w:pPr>
      <w:r>
        <w:t xml:space="preserve">Liquidaciones, comisiones y cuenta recaudadora calculadas automáticamente.</w:t>
      </w:r>
    </w:p>
    <w:p>
      <w:pPr>
        <w:pStyle w:val="ListParagraph"/>
        <w:numPr>
          <w:ilvl w:val="0"/>
          <w:numId w:val="2"/>
        </w:numPr>
        <w:spacing w:after="60"/>
      </w:pPr>
      <w:r>
        <w:t xml:space="preserve">Generación de documentos del arriendo: contrato, anexos, comprobantes, certificado de reserva.</w:t>
      </w:r>
    </w:p>
    <w:p>
      <w:pPr>
        <w:pStyle w:val="Heading2"/>
      </w:pPr>
      <w:r>
        <w:t xml:space="preserve">Sitio público (Marketplace B2C)</w:t>
      </w:r>
    </w:p>
    <w:p>
      <w:pPr>
        <w:pStyle w:val="ListParagraph"/>
        <w:numPr>
          <w:ilvl w:val="0"/>
          <w:numId w:val="2"/>
        </w:numPr>
        <w:spacing w:after="60"/>
      </w:pPr>
      <w:r>
        <w:t xml:space="preserve">Publicación de casas, departamentos y cabañas con búsqueda y filtros.</w:t>
      </w:r>
    </w:p>
    <w:p>
      <w:pPr>
        <w:pStyle w:val="ListParagraph"/>
        <w:numPr>
          <w:ilvl w:val="0"/>
          <w:numId w:val="2"/>
        </w:numPr>
        <w:spacing w:after="60"/>
      </w:pPr>
      <w:r>
        <w:t xml:space="preserve">Contacto directo con el corredor; reserva de propiedades gestionada por el corredor.</w:t>
      </w:r>
    </w:p>
    <w:p>
      <w:pPr>
        <w:pStyle w:val="ListParagraph"/>
        <w:numPr>
          <w:ilvl w:val="0"/>
          <w:numId w:val="2"/>
        </w:numPr>
        <w:spacing w:after="60"/>
      </w:pPr>
      <w:r>
        <w:t xml:space="preserve">Portal de autoconsulta para arrendatarios y propietarios (sin cuenta, acceso seguro por código OTP).</w:t>
      </w:r>
    </w:p>
    <w:p>
      <w:pPr>
        <w:pStyle w:val="Heading2"/>
      </w:pPr>
      <w:r>
        <w:t xml:space="preserve">Modelo de negocio</w:t>
      </w:r>
    </w:p>
    <w:p>
      <w:pPr>
        <w:spacing w:after="120"/>
      </w:pPr>
      <w:r>
        <w:t xml:space="preserve">Suscripción en UF (mensual, trimestral o anual) con precio escalonado según la cantidad de propiedades gestionadas por la corredora.</w:t>
      </w:r>
    </w:p>
    <w:p>
      <w:pPr>
        <w:pStyle w:val="Heading1"/>
      </w:pPr>
      <w:r>
        <w:t xml:space="preserve">4. Decisiones de arquitectura y seguridad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900"/>
        <w:gridCol w:w="8460"/>
      </w:tblGrid>
      <w:tr>
        <w:trPr>
          <w:tblHeader/>
        </w:trPr>
        <w:tc>
          <w:tcPr>
            <w:tcW w:type="dxa" w:w="900"/>
            <w:shd w:fill="1F3A5F" w:color="auto" w:val="clear"/>
            <w:tcMar>
              <w:top w:type="dxa" w:w="60"/>
              <w:left w:type="dxa" w:w="110"/>
              <w:bottom w:type="dxa" w:w="60"/>
              <w:right w:type="dxa" w:w="110"/>
            </w:tcMar>
            <w:vAlign w:val="center"/>
          </w:tcPr>
          <w:p>
            <w:pPr>
              <w:spacing w:after="0"/>
            </w:pPr>
            <w:r>
              <w:rPr>
                <w:b/>
                <w:bCs/>
                <w:color w:val="FFFFFF"/>
                <w:sz w:val="19"/>
                <w:szCs w:val="19"/>
              </w:rPr>
              <w:t xml:space="preserve">ADR</w:t>
            </w:r>
          </w:p>
        </w:tc>
        <w:tc>
          <w:tcPr>
            <w:tcW w:type="dxa" w:w="8460"/>
            <w:shd w:fill="1F3A5F" w:color="auto" w:val="clear"/>
            <w:tcMar>
              <w:top w:type="dxa" w:w="60"/>
              <w:left w:type="dxa" w:w="110"/>
              <w:bottom w:type="dxa" w:w="60"/>
              <w:right w:type="dxa" w:w="110"/>
            </w:tcMar>
            <w:vAlign w:val="center"/>
          </w:tcPr>
          <w:p>
            <w:pPr>
              <w:spacing w:after="0"/>
            </w:pPr>
            <w:r>
              <w:rPr>
                <w:b/>
                <w:bCs/>
                <w:color w:val="FFFFFF"/>
                <w:sz w:val="19"/>
                <w:szCs w:val="19"/>
              </w:rPr>
              <w:t xml:space="preserve">Decisión</w:t>
            </w:r>
          </w:p>
        </w:tc>
      </w:tr>
      <w:tr>
        <w:tc>
          <w:tcPr>
            <w:tcW w:type="dxa" w:w="900"/>
            <w:tcMar>
              <w:top w:type="dxa" w:w="60"/>
              <w:left w:type="dxa" w:w="110"/>
              <w:bottom w:type="dxa" w:w="60"/>
              <w:right w:type="dxa" w:w="110"/>
            </w:tcMar>
            <w:vAlign w:val="center"/>
          </w:tcPr>
          <w:p>
            <w:pPr>
              <w:spacing w:after="0"/>
            </w:pPr>
            <w:r>
              <w:rPr>
                <w:b w:val="false"/>
                <w:bCs w:val="false"/>
                <w:sz w:val="19"/>
                <w:szCs w:val="19"/>
              </w:rPr>
              <w:t xml:space="preserve">0001</w:t>
            </w:r>
          </w:p>
        </w:tc>
        <w:tc>
          <w:tcPr>
            <w:tcW w:type="dxa" w:w="8460"/>
            <w:tcMar>
              <w:top w:type="dxa" w:w="60"/>
              <w:left w:type="dxa" w:w="110"/>
              <w:bottom w:type="dxa" w:w="60"/>
              <w:right w:type="dxa" w:w="110"/>
            </w:tcMar>
            <w:vAlign w:val="center"/>
          </w:tcPr>
          <w:p>
            <w:pPr>
              <w:spacing w:after="0"/>
            </w:pPr>
            <w:r>
              <w:rPr>
                <w:b w:val="false"/>
                <w:bCs w:val="false"/>
                <w:sz w:val="19"/>
                <w:szCs w:val="19"/>
              </w:rPr>
              <w:t xml:space="preserve">Nube diferida; prototipo portable (Docker), sin lock-in</w:t>
            </w:r>
          </w:p>
        </w:tc>
      </w:tr>
      <w:tr>
        <w:tc>
          <w:tcPr>
            <w:tcW w:type="dxa" w:w="900"/>
            <w:tcMar>
              <w:top w:type="dxa" w:w="60"/>
              <w:left w:type="dxa" w:w="110"/>
              <w:bottom w:type="dxa" w:w="60"/>
              <w:right w:type="dxa" w:w="110"/>
            </w:tcMar>
            <w:vAlign w:val="center"/>
          </w:tcPr>
          <w:p>
            <w:pPr>
              <w:spacing w:after="0"/>
            </w:pPr>
            <w:r>
              <w:rPr>
                <w:b w:val="false"/>
                <w:bCs w:val="false"/>
                <w:sz w:val="19"/>
                <w:szCs w:val="19"/>
              </w:rPr>
              <w:t xml:space="preserve">0002</w:t>
            </w:r>
          </w:p>
        </w:tc>
        <w:tc>
          <w:tcPr>
            <w:tcW w:type="dxa" w:w="8460"/>
            <w:tcMar>
              <w:top w:type="dxa" w:w="60"/>
              <w:left w:type="dxa" w:w="110"/>
              <w:bottom w:type="dxa" w:w="60"/>
              <w:right w:type="dxa" w:w="110"/>
            </w:tcMar>
            <w:vAlign w:val="center"/>
          </w:tcPr>
          <w:p>
            <w:pPr>
              <w:spacing w:after="0"/>
            </w:pPr>
            <w:r>
              <w:rPr>
                <w:b w:val="false"/>
                <w:bCs w:val="false"/>
                <w:sz w:val="19"/>
                <w:szCs w:val="19"/>
              </w:rPr>
              <w:t xml:space="preserve">Next.js como monolito modular; núcleo financiero aislado y endurecible</w:t>
            </w:r>
          </w:p>
        </w:tc>
      </w:tr>
      <w:tr>
        <w:tc>
          <w:tcPr>
            <w:tcW w:type="dxa" w:w="900"/>
            <w:tcMar>
              <w:top w:type="dxa" w:w="60"/>
              <w:left w:type="dxa" w:w="110"/>
              <w:bottom w:type="dxa" w:w="60"/>
              <w:right w:type="dxa" w:w="110"/>
            </w:tcMar>
            <w:vAlign w:val="center"/>
          </w:tcPr>
          <w:p>
            <w:pPr>
              <w:spacing w:after="0"/>
            </w:pPr>
            <w:r>
              <w:rPr>
                <w:b w:val="false"/>
                <w:bCs w:val="false"/>
                <w:sz w:val="19"/>
                <w:szCs w:val="19"/>
              </w:rPr>
              <w:t xml:space="preserve">0003</w:t>
            </w:r>
          </w:p>
        </w:tc>
        <w:tc>
          <w:tcPr>
            <w:tcW w:type="dxa" w:w="8460"/>
            <w:tcMar>
              <w:top w:type="dxa" w:w="60"/>
              <w:left w:type="dxa" w:w="110"/>
              <w:bottom w:type="dxa" w:w="60"/>
              <w:right w:type="dxa" w:w="110"/>
            </w:tcMar>
            <w:vAlign w:val="center"/>
          </w:tcPr>
          <w:p>
            <w:pPr>
              <w:spacing w:after="0"/>
            </w:pPr>
            <w:r>
              <w:rPr>
                <w:b w:val="false"/>
                <w:bCs w:val="false"/>
                <w:sz w:val="19"/>
                <w:szCs w:val="19"/>
              </w:rPr>
              <w:t xml:space="preserve">Prototipo: dominio real, integraciones externas simuladas</w:t>
            </w:r>
          </w:p>
        </w:tc>
      </w:tr>
      <w:tr>
        <w:tc>
          <w:tcPr>
            <w:tcW w:type="dxa" w:w="900"/>
            <w:tcMar>
              <w:top w:type="dxa" w:w="60"/>
              <w:left w:type="dxa" w:w="110"/>
              <w:bottom w:type="dxa" w:w="60"/>
              <w:right w:type="dxa" w:w="110"/>
            </w:tcMar>
            <w:vAlign w:val="center"/>
          </w:tcPr>
          <w:p>
            <w:pPr>
              <w:spacing w:after="0"/>
            </w:pPr>
            <w:r>
              <w:rPr>
                <w:b w:val="false"/>
                <w:bCs w:val="false"/>
                <w:sz w:val="19"/>
                <w:szCs w:val="19"/>
              </w:rPr>
              <w:t xml:space="preserve">0004</w:t>
            </w:r>
          </w:p>
        </w:tc>
        <w:tc>
          <w:tcPr>
            <w:tcW w:type="dxa" w:w="8460"/>
            <w:tcMar>
              <w:top w:type="dxa" w:w="60"/>
              <w:left w:type="dxa" w:w="110"/>
              <w:bottom w:type="dxa" w:w="60"/>
              <w:right w:type="dxa" w:w="110"/>
            </w:tcMar>
            <w:vAlign w:val="center"/>
          </w:tcPr>
          <w:p>
            <w:pPr>
              <w:spacing w:after="0"/>
            </w:pPr>
            <w:r>
              <w:rPr>
                <w:b w:val="false"/>
                <w:bCs w:val="false"/>
                <w:sz w:val="19"/>
                <w:szCs w:val="19"/>
              </w:rPr>
              <w:t xml:space="preserve">Reglas financieras (UF/CLP, mora, IPC por aniversario, multa)</w:t>
            </w:r>
          </w:p>
        </w:tc>
      </w:tr>
      <w:tr>
        <w:tc>
          <w:tcPr>
            <w:tcW w:type="dxa" w:w="900"/>
            <w:tcMar>
              <w:top w:type="dxa" w:w="60"/>
              <w:left w:type="dxa" w:w="110"/>
              <w:bottom w:type="dxa" w:w="60"/>
              <w:right w:type="dxa" w:w="110"/>
            </w:tcMar>
            <w:vAlign w:val="center"/>
          </w:tcPr>
          <w:p>
            <w:pPr>
              <w:spacing w:after="0"/>
            </w:pPr>
            <w:r>
              <w:rPr>
                <w:b w:val="false"/>
                <w:bCs w:val="false"/>
                <w:sz w:val="19"/>
                <w:szCs w:val="19"/>
              </w:rPr>
              <w:t xml:space="preserve">0005</w:t>
            </w:r>
          </w:p>
        </w:tc>
        <w:tc>
          <w:tcPr>
            <w:tcW w:type="dxa" w:w="8460"/>
            <w:tcMar>
              <w:top w:type="dxa" w:w="60"/>
              <w:left w:type="dxa" w:w="110"/>
              <w:bottom w:type="dxa" w:w="60"/>
              <w:right w:type="dxa" w:w="110"/>
            </w:tcMar>
            <w:vAlign w:val="center"/>
          </w:tcPr>
          <w:p>
            <w:pPr>
              <w:spacing w:after="0"/>
            </w:pPr>
            <w:r>
              <w:rPr>
                <w:b w:val="false"/>
                <w:bCs w:val="false"/>
                <w:sz w:val="19"/>
                <w:szCs w:val="19"/>
              </w:rPr>
              <w:t xml:space="preserve">Acceso, partes, notificaciones y publicación enriquecida</w:t>
            </w:r>
          </w:p>
        </w:tc>
      </w:tr>
      <w:tr>
        <w:tc>
          <w:tcPr>
            <w:tcW w:type="dxa" w:w="900"/>
            <w:tcMar>
              <w:top w:type="dxa" w:w="60"/>
              <w:left w:type="dxa" w:w="110"/>
              <w:bottom w:type="dxa" w:w="60"/>
              <w:right w:type="dxa" w:w="110"/>
            </w:tcMar>
            <w:vAlign w:val="center"/>
          </w:tcPr>
          <w:p>
            <w:pPr>
              <w:spacing w:after="0"/>
            </w:pPr>
            <w:r>
              <w:rPr>
                <w:b w:val="false"/>
                <w:bCs w:val="false"/>
                <w:sz w:val="19"/>
                <w:szCs w:val="19"/>
              </w:rPr>
              <w:t xml:space="preserve">0006</w:t>
            </w:r>
          </w:p>
        </w:tc>
        <w:tc>
          <w:tcPr>
            <w:tcW w:type="dxa" w:w="8460"/>
            <w:tcMar>
              <w:top w:type="dxa" w:w="60"/>
              <w:left w:type="dxa" w:w="110"/>
              <w:bottom w:type="dxa" w:w="60"/>
              <w:right w:type="dxa" w:w="110"/>
            </w:tcMar>
            <w:vAlign w:val="center"/>
          </w:tcPr>
          <w:p>
            <w:pPr>
              <w:spacing w:after="0"/>
            </w:pPr>
            <w:r>
              <w:rPr>
                <w:b w:val="false"/>
                <w:bCs w:val="false"/>
                <w:sz w:val="19"/>
                <w:szCs w:val="19"/>
              </w:rPr>
              <w:t xml:space="preserve">Canales de pago seguros y gasto común passthrough</w:t>
            </w:r>
          </w:p>
        </w:tc>
      </w:tr>
      <w:tr>
        <w:tc>
          <w:tcPr>
            <w:tcW w:type="dxa" w:w="900"/>
            <w:tcMar>
              <w:top w:type="dxa" w:w="60"/>
              <w:left w:type="dxa" w:w="110"/>
              <w:bottom w:type="dxa" w:w="60"/>
              <w:right w:type="dxa" w:w="110"/>
            </w:tcMar>
            <w:vAlign w:val="center"/>
          </w:tcPr>
          <w:p>
            <w:pPr>
              <w:spacing w:after="0"/>
            </w:pPr>
            <w:r>
              <w:rPr>
                <w:b w:val="false"/>
                <w:bCs w:val="false"/>
                <w:sz w:val="19"/>
                <w:szCs w:val="19"/>
              </w:rPr>
              <w:t xml:space="preserve">0007</w:t>
            </w:r>
          </w:p>
        </w:tc>
        <w:tc>
          <w:tcPr>
            <w:tcW w:type="dxa" w:w="8460"/>
            <w:tcMar>
              <w:top w:type="dxa" w:w="60"/>
              <w:left w:type="dxa" w:w="110"/>
              <w:bottom w:type="dxa" w:w="60"/>
              <w:right w:type="dxa" w:w="110"/>
            </w:tcMar>
            <w:vAlign w:val="center"/>
          </w:tcPr>
          <w:p>
            <w:pPr>
              <w:spacing w:after="0"/>
            </w:pPr>
            <w:r>
              <w:rPr>
                <w:b w:val="false"/>
                <w:bCs w:val="false"/>
                <w:sz w:val="19"/>
                <w:szCs w:val="19"/>
              </w:rPr>
              <w:t xml:space="preserve">Portal de autoconsulta vía OTP (acceso sin cuenta)</w:t>
            </w:r>
          </w:p>
        </w:tc>
      </w:tr>
    </w:tbl>
    <w:p>
      <w:pPr>
        <w:pStyle w:val="ListParagraph"/>
        <w:numPr>
          <w:ilvl w:val="0"/>
          <w:numId w:val="2"/>
        </w:numPr>
        <w:spacing w:after="60"/>
      </w:pPr>
      <w:r>
        <w:rPr>
          <w:b/>
          <w:bCs/>
        </w:rPr>
        <w:t xml:space="preserve">Seguridad de datos sensibles</w:t>
      </w:r>
      <w:r>
        <w:t xml:space="preserve">: autorización en la capa de datos, aislamiento por corredora (RLS en la base de datos), contabilidad inmutable y auditoría.</w:t>
      </w:r>
    </w:p>
    <w:p>
      <w:pPr>
        <w:pStyle w:val="ListParagraph"/>
        <w:numPr>
          <w:ilvl w:val="0"/>
          <w:numId w:val="2"/>
        </w:numPr>
        <w:spacing w:after="60"/>
      </w:pPr>
      <w:r>
        <w:rPr>
          <w:b/>
          <w:bCs/>
        </w:rPr>
        <w:t xml:space="preserve">Cumplimiento (Chile)</w:t>
      </w:r>
      <w:r>
        <w:t xml:space="preserve">: Ley 19.628 y Ley 21.719 de protección de datos personales.</w:t>
      </w:r>
    </w:p>
    <w:p>
      <w:pPr>
        <w:pStyle w:val="Heading1"/>
      </w:pPr>
      <w:r>
        <w:t xml:space="preserve">5. Estado de la construcción (prototipo local)</w:t>
      </w:r>
    </w:p>
    <w:p>
      <w:pPr>
        <w:spacing w:after="120"/>
      </w:pPr>
      <w:r>
        <w:t xml:space="preserve">La fase de diseño está cerrada y el prototipo funcional ya corre en local. Lo construido:</w:t>
      </w:r>
    </w:p>
    <w:p>
      <w:pPr>
        <w:pStyle w:val="ListParagraph"/>
        <w:numPr>
          <w:ilvl w:val="0"/>
          <w:numId w:val="2"/>
        </w:numPr>
        <w:spacing w:after="60"/>
      </w:pPr>
      <w:r>
        <w:rPr>
          <w:b/>
          <w:bCs/>
        </w:rPr>
        <w:t xml:space="preserve">Aplicación</w:t>
      </w:r>
      <w:r>
        <w:t xml:space="preserve"> Next.js + TypeScript con panel del corredor (resumen, propiedades, contratos).</w:t>
      </w:r>
    </w:p>
    <w:p>
      <w:pPr>
        <w:pStyle w:val="ListParagraph"/>
        <w:numPr>
          <w:ilvl w:val="0"/>
          <w:numId w:val="2"/>
        </w:numPr>
        <w:spacing w:after="60"/>
      </w:pPr>
      <w:r>
        <w:rPr>
          <w:b/>
          <w:bCs/>
        </w:rPr>
        <w:t xml:space="preserve">Base de datos</w:t>
      </w:r>
      <w:r>
        <w:t xml:space="preserve"> PostgreSQL con el modelo completo (18 tablas), seguridad por corredora, contabilidad inmutable y vistas de saldos.</w:t>
      </w:r>
    </w:p>
    <w:p>
      <w:pPr>
        <w:pStyle w:val="ListParagraph"/>
        <w:numPr>
          <w:ilvl w:val="0"/>
          <w:numId w:val="2"/>
        </w:numPr>
        <w:spacing w:after="60"/>
      </w:pPr>
      <w:r>
        <w:rPr>
          <w:b/>
          <w:bCs/>
        </w:rPr>
        <w:t xml:space="preserve">Núcleo financiero</w:t>
      </w:r>
      <w:r>
        <w:t xml:space="preserve"> (paquete independiente) con pruebas automatizadas.</w:t>
      </w:r>
    </w:p>
    <w:p>
      <w:pPr>
        <w:pStyle w:val="ListParagraph"/>
        <w:numPr>
          <w:ilvl w:val="0"/>
          <w:numId w:val="2"/>
        </w:numPr>
        <w:spacing w:after="60"/>
      </w:pPr>
      <w:r>
        <w:rPr>
          <w:b/>
          <w:bCs/>
        </w:rPr>
        <w:t xml:space="preserve">Datos de ejemplo</w:t>
      </w:r>
      <w:r>
        <w:t xml:space="preserve"> realistas: corredora, propiedades, y contratos en UF y en CLP.</w:t>
      </w:r>
    </w:p>
    <w:p>
      <w:pPr>
        <w:spacing w:after="120"/>
      </w:pPr>
      <w:r>
        <w:t xml:space="preserve">Verificado funcionando sobre datos reales (no maquetas):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680"/>
        <w:gridCol w:w="4680"/>
      </w:tblGrid>
      <w:tr>
        <w:trPr>
          <w:tblHeader/>
        </w:trPr>
        <w:tc>
          <w:tcPr>
            <w:tcW w:type="dxa" w:w="4680"/>
            <w:shd w:fill="1F3A5F" w:color="auto" w:val="clear"/>
            <w:tcMar>
              <w:top w:type="dxa" w:w="60"/>
              <w:left w:type="dxa" w:w="110"/>
              <w:bottom w:type="dxa" w:w="60"/>
              <w:right w:type="dxa" w:w="110"/>
            </w:tcMar>
            <w:vAlign w:val="center"/>
          </w:tcPr>
          <w:p>
            <w:pPr>
              <w:spacing w:after="0"/>
            </w:pPr>
            <w:r>
              <w:rPr>
                <w:b/>
                <w:bCs/>
                <w:color w:val="FFFFFF"/>
                <w:sz w:val="19"/>
                <w:szCs w:val="19"/>
              </w:rPr>
              <w:t xml:space="preserve">Capacidad</w:t>
            </w:r>
          </w:p>
        </w:tc>
        <w:tc>
          <w:tcPr>
            <w:tcW w:type="dxa" w:w="4680"/>
            <w:shd w:fill="1F3A5F" w:color="auto" w:val="clear"/>
            <w:tcMar>
              <w:top w:type="dxa" w:w="60"/>
              <w:left w:type="dxa" w:w="110"/>
              <w:bottom w:type="dxa" w:w="60"/>
              <w:right w:type="dxa" w:w="110"/>
            </w:tcMar>
            <w:vAlign w:val="center"/>
          </w:tcPr>
          <w:p>
            <w:pPr>
              <w:spacing w:after="0"/>
            </w:pPr>
            <w:r>
              <w:rPr>
                <w:b/>
                <w:bCs/>
                <w:color w:val="FFFFFF"/>
                <w:sz w:val="19"/>
                <w:szCs w:val="19"/>
              </w:rPr>
              <w:t xml:space="preserve">Resultado verificado</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Reajuste de IPC por aniversario (falla #6)</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Renta CLP sube de $500.000 a $521.409 en el aniversario</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Contabilidad inmutable (auditoría)</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Modificar un asiento es rechazado por la base de datos</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Cuenta recaudadora del propietario</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Saldo derivado correcto, separado de la comisión</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Gasto común como passthrough</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No infla la recaudación del propietario ni la comisión</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Aislamiento por corredora (RLS)</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Activo en las 15 tablas con datos sensibles</w:t>
            </w:r>
          </w:p>
        </w:tc>
      </w:tr>
      <w:tr>
        <w:tc>
          <w:tcPr>
            <w:tcW w:type="dxa" w:w="4680"/>
            <w:tcMar>
              <w:top w:type="dxa" w:w="60"/>
              <w:left w:type="dxa" w:w="110"/>
              <w:bottom w:type="dxa" w:w="60"/>
              <w:right w:type="dxa" w:w="110"/>
            </w:tcMar>
            <w:vAlign w:val="center"/>
          </w:tcPr>
          <w:p>
            <w:pPr>
              <w:spacing w:after="0"/>
            </w:pPr>
            <w:r>
              <w:rPr>
                <w:b w:val="false"/>
                <w:bCs w:val="false"/>
                <w:sz w:val="19"/>
                <w:szCs w:val="19"/>
              </w:rPr>
              <w:t xml:space="preserve">Pruebas del núcleo financiero</w:t>
            </w:r>
          </w:p>
        </w:tc>
        <w:tc>
          <w:tcPr>
            <w:tcW w:type="dxa" w:w="4680"/>
            <w:tcMar>
              <w:top w:type="dxa" w:w="60"/>
              <w:left w:type="dxa" w:w="110"/>
              <w:bottom w:type="dxa" w:w="60"/>
              <w:right w:type="dxa" w:w="110"/>
            </w:tcMar>
            <w:vAlign w:val="center"/>
          </w:tcPr>
          <w:p>
            <w:pPr>
              <w:spacing w:after="0"/>
            </w:pPr>
            <w:r>
              <w:rPr>
                <w:b w:val="false"/>
                <w:bCs w:val="false"/>
                <w:sz w:val="19"/>
                <w:szCs w:val="19"/>
              </w:rPr>
              <w:t xml:space="preserve">8 de 8 correctas</w:t>
            </w:r>
          </w:p>
        </w:tc>
      </w:tr>
    </w:tbl>
    <w:p>
      <w:pPr>
        <w:spacing w:after="120"/>
      </w:pPr>
      <w:r>
        <w:t xml:space="preserve">Una </w:t>
      </w:r>
      <w:r>
        <w:rPr>
          <w:b/>
          <w:bCs/>
        </w:rPr>
        <w:t xml:space="preserve">guía de levantamiento local</w:t>
      </w:r>
      <w:r>
        <w:t xml:space="preserve"> permite al directorio inspeccionar el prototipo por su cuenta.</w:t>
      </w:r>
    </w:p>
    <w:p>
      <w:pPr>
        <w:pStyle w:val="Heading1"/>
      </w:pPr>
      <w:r>
        <w:t xml:space="preserve">6. Hoja de ruta</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200"/>
        <w:gridCol w:w="7160"/>
      </w:tblGrid>
      <w:tr>
        <w:trPr>
          <w:tblHeader/>
        </w:trPr>
        <w:tc>
          <w:tcPr>
            <w:tcW w:type="dxa" w:w="2200"/>
            <w:shd w:fill="1F3A5F" w:color="auto" w:val="clear"/>
            <w:tcMar>
              <w:top w:type="dxa" w:w="60"/>
              <w:left w:type="dxa" w:w="110"/>
              <w:bottom w:type="dxa" w:w="60"/>
              <w:right w:type="dxa" w:w="110"/>
            </w:tcMar>
            <w:vAlign w:val="center"/>
          </w:tcPr>
          <w:p>
            <w:pPr>
              <w:spacing w:after="0"/>
            </w:pPr>
            <w:r>
              <w:rPr>
                <w:b/>
                <w:bCs/>
                <w:color w:val="FFFFFF"/>
                <w:sz w:val="19"/>
                <w:szCs w:val="19"/>
              </w:rPr>
              <w:t xml:space="preserve">Fase</w:t>
            </w:r>
          </w:p>
        </w:tc>
        <w:tc>
          <w:tcPr>
            <w:tcW w:type="dxa" w:w="7160"/>
            <w:shd w:fill="1F3A5F" w:color="auto" w:val="clear"/>
            <w:tcMar>
              <w:top w:type="dxa" w:w="60"/>
              <w:left w:type="dxa" w:w="110"/>
              <w:bottom w:type="dxa" w:w="60"/>
              <w:right w:type="dxa" w:w="110"/>
            </w:tcMar>
            <w:vAlign w:val="center"/>
          </w:tcPr>
          <w:p>
            <w:pPr>
              <w:spacing w:after="0"/>
            </w:pPr>
            <w:r>
              <w:rPr>
                <w:b/>
                <w:bCs/>
                <w:color w:val="FFFFFF"/>
                <w:sz w:val="19"/>
                <w:szCs w:val="19"/>
              </w:rPr>
              <w:t xml:space="preserve">Foco</w:t>
            </w:r>
          </w:p>
        </w:tc>
      </w:tr>
      <w:tr>
        <w:tc>
          <w:tcPr>
            <w:tcW w:type="dxa" w:w="2200"/>
            <w:tcMar>
              <w:top w:type="dxa" w:w="60"/>
              <w:left w:type="dxa" w:w="110"/>
              <w:bottom w:type="dxa" w:w="60"/>
              <w:right w:type="dxa" w:w="110"/>
            </w:tcMar>
            <w:vAlign w:val="center"/>
          </w:tcPr>
          <w:p>
            <w:pPr>
              <w:spacing w:after="0"/>
            </w:pPr>
            <w:r>
              <w:rPr>
                <w:b w:val="false"/>
                <w:bCs w:val="false"/>
                <w:sz w:val="19"/>
                <w:szCs w:val="19"/>
              </w:rPr>
              <w:t xml:space="preserve">MVP (local)</w:t>
            </w:r>
          </w:p>
        </w:tc>
        <w:tc>
          <w:tcPr>
            <w:tcW w:type="dxa" w:w="7160"/>
            <w:tcMar>
              <w:top w:type="dxa" w:w="60"/>
              <w:left w:type="dxa" w:w="110"/>
              <w:bottom w:type="dxa" w:w="60"/>
              <w:right w:type="dxa" w:w="110"/>
            </w:tcMar>
            <w:vAlign w:val="center"/>
          </w:tcPr>
          <w:p>
            <w:pPr>
              <w:spacing w:after="0"/>
            </w:pPr>
            <w:r>
              <w:rPr>
                <w:b w:val="false"/>
                <w:bCs w:val="false"/>
                <w:sz w:val="19"/>
                <w:szCs w:val="19"/>
              </w:rPr>
              <w:t xml:space="preserve">Núcleo financiero B2B real + panel + conciliación de pagos + portal de autoconsulta</w:t>
            </w:r>
          </w:p>
        </w:tc>
      </w:tr>
      <w:tr>
        <w:tc>
          <w:tcPr>
            <w:tcW w:type="dxa" w:w="2200"/>
            <w:tcMar>
              <w:top w:type="dxa" w:w="60"/>
              <w:left w:type="dxa" w:w="110"/>
              <w:bottom w:type="dxa" w:w="60"/>
              <w:right w:type="dxa" w:w="110"/>
            </w:tcMar>
            <w:vAlign w:val="center"/>
          </w:tcPr>
          <w:p>
            <w:pPr>
              <w:spacing w:after="0"/>
            </w:pPr>
            <w:r>
              <w:rPr>
                <w:b w:val="false"/>
                <w:bCs w:val="false"/>
                <w:sz w:val="19"/>
                <w:szCs w:val="19"/>
              </w:rPr>
              <w:t xml:space="preserve">Fase 2</w:t>
            </w:r>
          </w:p>
        </w:tc>
        <w:tc>
          <w:tcPr>
            <w:tcW w:type="dxa" w:w="7160"/>
            <w:tcMar>
              <w:top w:type="dxa" w:w="60"/>
              <w:left w:type="dxa" w:w="110"/>
              <w:bottom w:type="dxa" w:w="60"/>
              <w:right w:type="dxa" w:w="110"/>
            </w:tcMar>
            <w:vAlign w:val="center"/>
          </w:tcPr>
          <w:p>
            <w:pPr>
              <w:spacing w:after="0"/>
            </w:pPr>
            <w:r>
              <w:rPr>
                <w:b w:val="false"/>
                <w:bCs w:val="false"/>
                <w:sz w:val="19"/>
                <w:szCs w:val="19"/>
              </w:rPr>
              <w:t xml:space="preserve">Marketplace público completo, arriendos diarios, documentos legales y firma, pagos reales</w:t>
            </w:r>
          </w:p>
        </w:tc>
      </w:tr>
      <w:tr>
        <w:tc>
          <w:tcPr>
            <w:tcW w:type="dxa" w:w="2200"/>
            <w:tcMar>
              <w:top w:type="dxa" w:w="60"/>
              <w:left w:type="dxa" w:w="110"/>
              <w:bottom w:type="dxa" w:w="60"/>
              <w:right w:type="dxa" w:w="110"/>
            </w:tcMar>
            <w:vAlign w:val="center"/>
          </w:tcPr>
          <w:p>
            <w:pPr>
              <w:spacing w:after="0"/>
            </w:pPr>
            <w:r>
              <w:rPr>
                <w:b w:val="false"/>
                <w:bCs w:val="false"/>
                <w:sz w:val="19"/>
                <w:szCs w:val="19"/>
              </w:rPr>
              <w:t xml:space="preserve">Escalabilidad</w:t>
            </w:r>
          </w:p>
        </w:tc>
        <w:tc>
          <w:tcPr>
            <w:tcW w:type="dxa" w:w="7160"/>
            <w:tcMar>
              <w:top w:type="dxa" w:w="60"/>
              <w:left w:type="dxa" w:w="110"/>
              <w:bottom w:type="dxa" w:w="60"/>
              <w:right w:type="dxa" w:w="110"/>
            </w:tcMar>
            <w:vAlign w:val="center"/>
          </w:tcPr>
          <w:p>
            <w:pPr>
              <w:spacing w:after="0"/>
            </w:pPr>
            <w:r>
              <w:rPr>
                <w:b w:val="false"/>
                <w:bCs w:val="false"/>
                <w:sz w:val="19"/>
                <w:szCs w:val="19"/>
              </w:rPr>
              <w:t xml:space="preserve">Despliegue en nube, facturación del SaaS, analítica de mercado, app móvil</w:t>
            </w:r>
          </w:p>
        </w:tc>
      </w:tr>
    </w:tbl>
    <w:p>
      <w:pPr>
        <w:pStyle w:val="Heading1"/>
      </w:pPr>
      <w:r>
        <w:t xml:space="preserve">7. Próximos pasos</w:t>
      </w:r>
    </w:p>
    <w:p>
      <w:pPr>
        <w:pStyle w:val="ListParagraph"/>
        <w:numPr>
          <w:ilvl w:val="0"/>
          <w:numId w:val="2"/>
        </w:numPr>
        <w:spacing w:after="60"/>
      </w:pPr>
      <w:r>
        <w:rPr>
          <w:b/>
          <w:bCs/>
        </w:rPr>
        <w:t xml:space="preserve">Flujo de conciliación de pagos</w:t>
      </w:r>
      <w:r>
        <w:t xml:space="preserve"> (“Simular pago recibido”): detección, calce por monto exacto con fecha real, cálculo de mora y emisión de comprobante — la demostración directa del diferenciador #1.</w:t>
      </w:r>
    </w:p>
    <w:p>
      <w:pPr>
        <w:pStyle w:val="ListParagraph"/>
        <w:numPr>
          <w:ilvl w:val="0"/>
          <w:numId w:val="2"/>
        </w:numPr>
        <w:spacing w:after="60"/>
      </w:pPr>
      <w:r>
        <w:t xml:space="preserve">Detalle de contrato (calendario y contabilidad) y gestión (alta/edición) de propiedades y contratos.</w:t>
      </w:r>
    </w:p>
    <w:p>
      <w:pPr>
        <w:pStyle w:val="ListParagraph"/>
        <w:numPr>
          <w:ilvl w:val="0"/>
          <w:numId w:val="2"/>
        </w:numPr>
        <w:spacing w:after="60"/>
      </w:pPr>
      <w:r>
        <w:t xml:space="preserve">Portal de autoconsulta de arrendatarios y propietarios; documentos del arriendo.</w:t>
      </w:r>
    </w:p>
    <w:p>
      <w:pPr>
        <w:spacing w:before="200"/>
      </w:pPr>
      <w:r>
        <w:rPr>
          <w:i/>
          <w:iCs/>
          <w:color w:val="555555"/>
        </w:rPr>
        <w:t xml:space="preserve">Resumen: diseño cerrado y prototipo funcional con el núcleo financiero verificado. La construcción avanza según lo planificado.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Confidencial · 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Housing — Resumen Ejecutivo · SOLIDIT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B5" w:sz="6" w:space="4"/>
      </w:pBd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2026-06-05T02:15:44.874Z</dcterms:created>
  <dcterms:modified xsi:type="dcterms:W3CDTF">2026-06-05T02:15:44.875Z</dcterms:modified>
</cp:coreProperties>
</file>

<file path=docProps/custom.xml><?xml version="1.0" encoding="utf-8"?>
<Properties xmlns="http://schemas.openxmlformats.org/officeDocument/2006/custom-properties" xmlns:vt="http://schemas.openxmlformats.org/officeDocument/2006/docPropsVTypes"/>
</file>