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Meiryo" w:cs="Meiryo" w:eastAsia="Meiryo" w:hAnsi="Meiryo"/>
          <w:b/>
          <w:bCs/>
          <w:color w:val="1B9AAA"/>
          <w:sz w:val="20"/>
          <w:szCs w:val="20"/>
        </w:rPr>
        <w:t xml:space="preserve">実験手順書（SOP）</w:t>
      </w:r>
    </w:p>
    <w:p>
      <w:pPr>
        <w:pBdr>
          <w:bottom w:val="single" w:color="0F1626" w:sz="12" w:space="8"/>
        </w:pBdr>
        <w:spacing w:after="200"/>
      </w:pPr>
      <w:r>
        <w:rPr>
          <w:rFonts w:ascii="Meiryo" w:cs="Meiryo" w:eastAsia="Meiryo" w:hAnsi="Meiryo"/>
          <w:b/>
          <w:bCs/>
          <w:color w:val="0F1626"/>
          <w:sz w:val="32"/>
          <w:szCs w:val="32"/>
        </w:rPr>
        <w:t xml:space="preserve">マグネットネイル装着者のMRI検査に関する定量評価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1700"/>
        <w:gridCol w:w="3138"/>
      </w:tblGrid>
      <w:tr>
        <w:tc>
          <w:tcPr>
            <w:tcW w:type="dxa" w:w="17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文書番号</w:t>
            </w:r>
          </w:p>
        </w:tc>
        <w:tc>
          <w:tcPr>
            <w:tcW w:type="dxa" w:w="31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MN-MRI-SOP-001</w:t>
            </w:r>
          </w:p>
        </w:tc>
        <w:tc>
          <w:tcPr>
            <w:tcW w:type="dxa" w:w="17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版数</w:t>
            </w:r>
          </w:p>
        </w:tc>
        <w:tc>
          <w:tcPr>
            <w:tcW w:type="dxa" w:w="31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第 1.0 版</w:t>
            </w:r>
          </w:p>
        </w:tc>
      </w:tr>
      <w:tr>
        <w:tc>
          <w:tcPr>
            <w:tcW w:type="dxa" w:w="17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作成日</w:t>
            </w:r>
          </w:p>
        </w:tc>
        <w:tc>
          <w:tcPr>
            <w:tcW w:type="dxa" w:w="31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　　　年　　月　　日</w:t>
            </w:r>
          </w:p>
        </w:tc>
        <w:tc>
          <w:tcPr>
            <w:tcW w:type="dxa" w:w="17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発効日</w:t>
            </w:r>
          </w:p>
        </w:tc>
        <w:tc>
          <w:tcPr>
            <w:tcW w:type="dxa" w:w="31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　　　年　　月　　日</w:t>
            </w:r>
          </w:p>
        </w:tc>
      </w:tr>
      <w:tr>
        <w:tc>
          <w:tcPr>
            <w:tcW w:type="dxa" w:w="17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作成者</w:t>
            </w:r>
          </w:p>
        </w:tc>
        <w:tc>
          <w:tcPr>
            <w:tcW w:type="dxa" w:w="31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
            </w:r>
          </w:p>
        </w:tc>
        <w:tc>
          <w:tcPr>
            <w:tcW w:type="dxa" w:w="17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承認者</w:t>
            </w:r>
          </w:p>
        </w:tc>
        <w:tc>
          <w:tcPr>
            <w:tcW w:type="dxa" w:w="31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
            </w:r>
          </w:p>
        </w:tc>
      </w:tr>
      <w:tr>
        <w:tc>
          <w:tcPr>
            <w:tcW w:type="dxa" w:w="17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適用施設・装置</w:t>
            </w:r>
          </w:p>
        </w:tc>
        <w:tc>
          <w:tcPr>
            <w:tcW w:type="dxa" w:w="7938"/>
            <w:gridSpan w:val="3"/>
            <w:tcMar>
              <w:top w:type="dxa" w:w="80"/>
              <w:left w:type="dxa" w:w="120"/>
              <w:bottom w:type="dxa" w:w="80"/>
              <w:right w:type="dxa" w:w="120"/>
            </w:tcMar>
          </w:tcPr>
          <w:p>
            <w:pPr>
              <w:spacing w:after="0"/>
            </w:pP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BE3E6" w:color="auto" w:val="clear"/>
            <w:tcMar>
              <w:top w:type="dxa" w:w="140"/>
              <w:left w:type="dxa" w:w="180"/>
              <w:bottom w:type="dxa" w:w="140"/>
              <w:right w:type="dxa" w:w="180"/>
            </w:tcMar>
          </w:tcPr>
          <w:p>
            <w:pPr>
              <w:spacing w:after="80"/>
            </w:pPr>
            <w:r>
              <w:rPr>
                <w:rFonts w:ascii="Meiryo" w:cs="Meiryo" w:eastAsia="Meiryo" w:hAnsi="Meiryo"/>
                <w:b/>
                <w:bCs/>
                <w:color w:val="B5326A"/>
                <w:sz w:val="21"/>
                <w:szCs w:val="21"/>
              </w:rPr>
              <w:t xml:space="preserve">この手順書を読む前に</w:t>
            </w:r>
          </w:p>
          <w:p>
            <w:pPr>
              <w:spacing w:after="40" w:line="270"/>
            </w:pPr>
            <w:r>
              <w:rPr>
                <w:rFonts w:ascii="Meiryo" w:cs="Meiryo" w:eastAsia="Meiryo" w:hAnsi="Meiryo"/>
                <w:sz w:val="20"/>
                <w:szCs w:val="20"/>
              </w:rPr>
              <w:t xml:space="preserve">本手順書は人体を対象としません。撮影はすべてファントム（人体を模した試験体）で行います。自分自身の手を含め、いかなる人体も撮影の対象にしないでください。</w:t>
            </w:r>
          </w:p>
          <w:p>
            <w:pPr>
              <w:spacing w:after="40" w:line="270"/>
            </w:pPr>
            <w:r>
              <w:rPr>
                <w:rFonts w:ascii="Meiryo" w:cs="Meiryo" w:eastAsia="Meiryo" w:hAnsi="Meiryo"/>
                <w:sz w:val="20"/>
                <w:szCs w:val="20"/>
              </w:rPr>
              <w:t xml:space="preserve">強力磁石（ネオジム磁石）は、いかなる理由があってもMRI検査室に持ち込まないでください。試料の模様付けと硬化は検査室外で完了させ、硬化済みの試料のみを持ち込みます。</w:t>
            </w:r>
          </w:p>
          <w:p>
            <w:pPr>
              <w:spacing w:after="40" w:line="270"/>
            </w:pPr>
            <w:r>
              <w:rPr>
                <w:rFonts w:ascii="Meiryo" w:cs="Meiryo" w:eastAsia="Meiryo" w:hAnsi="Meiryo"/>
                <w:sz w:val="20"/>
                <w:szCs w:val="20"/>
              </w:rPr>
              <w:t xml:space="preserve">作業は必ず2名以上で行い、時間外の単独作業は禁止します。</w:t>
            </w:r>
          </w:p>
        </w:tc>
      </w:tr>
    </w:tbl>
    <w:p>
      <w:pPr>
        <w:spacing w:after="200"/>
      </w:pPr>
    </w:p>
    <w:p>
      <w:pPr>
        <w:spacing w:after="80" w:before="0" w:line="280"/>
      </w:pPr>
      <w:r>
        <w:rPr>
          <w:rFonts w:ascii="Meiryo" w:cs="Meiryo" w:eastAsia="Meiryo" w:hAnsi="Meiryo"/>
          <w:b/>
          <w:bCs/>
          <w:color w:val="0F1626"/>
          <w:sz w:val="22"/>
          <w:szCs w:val="22"/>
        </w:rPr>
        <w:t xml:space="preserve">目次</w:t>
      </w:r>
    </w:p>
    <w:p>
      <w:pPr>
        <w:spacing w:after="30" w:before="0" w:line="280"/>
        <w:ind w:left="240"/>
      </w:pPr>
      <w:r>
        <w:rPr>
          <w:rFonts w:ascii="Meiryo" w:cs="Meiryo" w:eastAsia="Meiryo" w:hAnsi="Meiryo"/>
          <w:color w:val="1F2430"/>
          <w:sz w:val="20"/>
          <w:szCs w:val="20"/>
        </w:rPr>
        <w:t xml:space="preserve">1. 目的</w:t>
      </w:r>
    </w:p>
    <w:p>
      <w:pPr>
        <w:spacing w:after="30" w:before="0" w:line="280"/>
        <w:ind w:left="240"/>
      </w:pPr>
      <w:r>
        <w:rPr>
          <w:rFonts w:ascii="Meiryo" w:cs="Meiryo" w:eastAsia="Meiryo" w:hAnsi="Meiryo"/>
          <w:color w:val="1F2430"/>
          <w:sz w:val="20"/>
          <w:szCs w:val="20"/>
        </w:rPr>
        <w:t xml:space="preserve">2. 適用範囲</w:t>
      </w:r>
    </w:p>
    <w:p>
      <w:pPr>
        <w:spacing w:after="30" w:before="0" w:line="280"/>
        <w:ind w:left="240"/>
      </w:pPr>
      <w:r>
        <w:rPr>
          <w:rFonts w:ascii="Meiryo" w:cs="Meiryo" w:eastAsia="Meiryo" w:hAnsi="Meiryo"/>
          <w:color w:val="1F2430"/>
          <w:sz w:val="20"/>
          <w:szCs w:val="20"/>
        </w:rPr>
        <w:t xml:space="preserve">3. 安全上の遵守事項</w:t>
      </w:r>
    </w:p>
    <w:p>
      <w:pPr>
        <w:spacing w:after="30" w:before="0" w:line="280"/>
        <w:ind w:left="240"/>
      </w:pPr>
      <w:r>
        <w:rPr>
          <w:rFonts w:ascii="Meiryo" w:cs="Meiryo" w:eastAsia="Meiryo" w:hAnsi="Meiryo"/>
          <w:color w:val="1F2430"/>
          <w:sz w:val="20"/>
          <w:szCs w:val="20"/>
        </w:rPr>
        <w:t xml:space="preserve">4. 体制と役割</w:t>
      </w:r>
    </w:p>
    <w:p>
      <w:pPr>
        <w:spacing w:after="30" w:before="0" w:line="280"/>
        <w:ind w:left="240"/>
      </w:pPr>
      <w:r>
        <w:rPr>
          <w:rFonts w:ascii="Meiryo" w:cs="Meiryo" w:eastAsia="Meiryo" w:hAnsi="Meiryo"/>
          <w:color w:val="1F2430"/>
          <w:sz w:val="20"/>
          <w:szCs w:val="20"/>
        </w:rPr>
        <w:t xml:space="preserve">5. 機材・消耗品</w:t>
      </w:r>
    </w:p>
    <w:p>
      <w:pPr>
        <w:spacing w:after="30" w:before="0" w:line="280"/>
        <w:ind w:left="240"/>
      </w:pPr>
      <w:r>
        <w:rPr>
          <w:rFonts w:ascii="Meiryo" w:cs="Meiryo" w:eastAsia="Meiryo" w:hAnsi="Meiryo"/>
          <w:color w:val="1F2430"/>
          <w:sz w:val="20"/>
          <w:szCs w:val="20"/>
        </w:rPr>
        <w:t xml:space="preserve">6. 事前準備</w:t>
      </w:r>
    </w:p>
    <w:p>
      <w:pPr>
        <w:spacing w:after="30" w:before="0" w:line="280"/>
        <w:ind w:left="240"/>
      </w:pPr>
      <w:r>
        <w:rPr>
          <w:rFonts w:ascii="Meiryo" w:cs="Meiryo" w:eastAsia="Meiryo" w:hAnsi="Meiryo"/>
          <w:color w:val="1F2430"/>
          <w:sz w:val="20"/>
          <w:szCs w:val="20"/>
        </w:rPr>
        <w:t xml:space="preserve">7. 手順A：磁気吸引力の測定（ASTM F2052）</w:t>
      </w:r>
    </w:p>
    <w:p>
      <w:pPr>
        <w:spacing w:after="30" w:before="0" w:line="280"/>
        <w:ind w:left="240"/>
      </w:pPr>
      <w:r>
        <w:rPr>
          <w:rFonts w:ascii="Meiryo" w:cs="Meiryo" w:eastAsia="Meiryo" w:hAnsi="Meiryo"/>
          <w:color w:val="1F2430"/>
          <w:sz w:val="20"/>
          <w:szCs w:val="20"/>
        </w:rPr>
        <w:t xml:space="preserve">8. 手順B：画像アーチファクトの測定（ASTM F2119）</w:t>
      </w:r>
    </w:p>
    <w:p>
      <w:pPr>
        <w:spacing w:after="30" w:before="0" w:line="280"/>
        <w:ind w:left="240"/>
      </w:pPr>
      <w:r>
        <w:rPr>
          <w:rFonts w:ascii="Meiryo" w:cs="Meiryo" w:eastAsia="Meiryo" w:hAnsi="Meiryo"/>
          <w:color w:val="1F2430"/>
          <w:sz w:val="20"/>
          <w:szCs w:val="20"/>
        </w:rPr>
        <w:t xml:space="preserve">9. 手順C：発熱の評価（示温ラベル法）</w:t>
      </w:r>
    </w:p>
    <w:p>
      <w:pPr>
        <w:spacing w:after="30" w:before="0" w:line="280"/>
        <w:ind w:left="240"/>
      </w:pPr>
      <w:r>
        <w:rPr>
          <w:rFonts w:ascii="Meiryo" w:cs="Meiryo" w:eastAsia="Meiryo" w:hAnsi="Meiryo"/>
          <w:color w:val="1F2430"/>
          <w:sz w:val="20"/>
          <w:szCs w:val="20"/>
        </w:rPr>
        <w:t xml:space="preserve">10. 手順D：磁性粉の配向異方性</w:t>
      </w:r>
    </w:p>
    <w:p>
      <w:pPr>
        <w:spacing w:after="30" w:before="0" w:line="280"/>
        <w:ind w:left="240"/>
      </w:pPr>
      <w:r>
        <w:rPr>
          <w:rFonts w:ascii="Meiryo" w:cs="Meiryo" w:eastAsia="Meiryo" w:hAnsi="Meiryo"/>
          <w:color w:val="1F2430"/>
          <w:sz w:val="20"/>
          <w:szCs w:val="20"/>
        </w:rPr>
        <w:t xml:space="preserve">11. 手順E-1：延期症例の後ろ向き調査</w:t>
      </w:r>
    </w:p>
    <w:p>
      <w:pPr>
        <w:spacing w:after="30" w:before="0" w:line="280"/>
        <w:ind w:left="240"/>
      </w:pPr>
      <w:r>
        <w:rPr>
          <w:rFonts w:ascii="Meiryo" w:cs="Meiryo" w:eastAsia="Meiryo" w:hAnsi="Meiryo"/>
          <w:color w:val="1F2430"/>
          <w:sz w:val="20"/>
          <w:szCs w:val="20"/>
        </w:rPr>
        <w:t xml:space="preserve">12. 手順E-3：簡易磁石テストの性能評価</w:t>
      </w:r>
    </w:p>
    <w:p>
      <w:pPr>
        <w:spacing w:after="30" w:before="0" w:line="280"/>
        <w:ind w:left="240"/>
      </w:pPr>
      <w:r>
        <w:rPr>
          <w:rFonts w:ascii="Meiryo" w:cs="Meiryo" w:eastAsia="Meiryo" w:hAnsi="Meiryo"/>
          <w:color w:val="1F2430"/>
          <w:sz w:val="20"/>
          <w:szCs w:val="20"/>
        </w:rPr>
        <w:t xml:space="preserve">13. 測定順序とバイアス対策</w:t>
      </w:r>
    </w:p>
    <w:p>
      <w:pPr>
        <w:spacing w:after="30" w:before="0" w:line="280"/>
        <w:ind w:left="240"/>
      </w:pPr>
      <w:r>
        <w:rPr>
          <w:rFonts w:ascii="Meiryo" w:cs="Meiryo" w:eastAsia="Meiryo" w:hAnsi="Meiryo"/>
          <w:color w:val="1F2430"/>
          <w:sz w:val="20"/>
          <w:szCs w:val="20"/>
        </w:rPr>
        <w:t xml:space="preserve">14. データの記録と管理</w:t>
      </w:r>
    </w:p>
    <w:p>
      <w:pPr>
        <w:spacing w:after="30" w:before="0" w:line="280"/>
        <w:ind w:left="240"/>
      </w:pPr>
      <w:r>
        <w:rPr>
          <w:rFonts w:ascii="Meiryo" w:cs="Meiryo" w:eastAsia="Meiryo" w:hAnsi="Meiryo"/>
          <w:color w:val="1F2430"/>
          <w:sz w:val="20"/>
          <w:szCs w:val="20"/>
        </w:rPr>
        <w:t xml:space="preserve">15. 中止基準と異常時の対応</w:t>
      </w:r>
    </w:p>
    <w:p>
      <w:pPr>
        <w:spacing w:after="30" w:before="0" w:line="280"/>
        <w:ind w:left="240"/>
      </w:pPr>
      <w:r>
        <w:rPr>
          <w:rFonts w:ascii="Meiryo" w:cs="Meiryo" w:eastAsia="Meiryo" w:hAnsi="Meiryo"/>
          <w:color w:val="1F2430"/>
          <w:sz w:val="20"/>
          <w:szCs w:val="20"/>
        </w:rPr>
        <w:t xml:space="preserve">16. 撤収手順</w:t>
      </w:r>
    </w:p>
    <w:p>
      <w:pPr>
        <w:spacing w:after="30" w:before="0" w:line="280"/>
        <w:ind w:left="240"/>
      </w:pPr>
      <w:r>
        <w:rPr>
          <w:rFonts w:ascii="Meiryo" w:cs="Meiryo" w:eastAsia="Meiryo" w:hAnsi="Meiryo"/>
          <w:color w:val="1F2430"/>
          <w:sz w:val="20"/>
          <w:szCs w:val="20"/>
        </w:rPr>
        <w:t xml:space="preserve">17. 記録様式一覧</w:t>
      </w:r>
    </w:p>
    <w:p>
      <w:pPr>
        <w:spacing w:after="30" w:before="0" w:line="280"/>
        <w:ind w:left="240"/>
      </w:pPr>
      <w:r>
        <w:rPr>
          <w:rFonts w:ascii="Meiryo" w:cs="Meiryo" w:eastAsia="Meiryo" w:hAnsi="Meiryo"/>
          <w:color w:val="1F2430"/>
          <w:sz w:val="20"/>
          <w:szCs w:val="20"/>
        </w:rPr>
        <w:t xml:space="preserve">18. 改訂履歴</w:t>
      </w:r>
    </w:p>
    <w:p>
      <w:r>
        <w:br w:type="page"/>
      </w:r>
    </w:p>
    <w:p>
      <w:pPr>
        <w:pStyle w:val="Heading1"/>
        <w:spacing w:after="160" w:before="320"/>
      </w:pPr>
      <w:r>
        <w:rPr>
          <w:rFonts w:ascii="Meiryo" w:cs="Meiryo" w:eastAsia="Meiryo" w:hAnsi="Meiryo"/>
          <w:b/>
          <w:bCs/>
          <w:color w:val="0F1626"/>
          <w:sz w:val="26"/>
          <w:szCs w:val="26"/>
        </w:rPr>
        <w:t xml:space="preserve">1　目的</w:t>
      </w:r>
    </w:p>
    <w:p>
      <w:pPr>
        <w:spacing w:after="100" w:before="0" w:line="280"/>
      </w:pPr>
      <w:r>
        <w:rPr>
          <w:rFonts w:ascii="Meiryo" w:cs="Meiryo" w:eastAsia="Meiryo" w:hAnsi="Meiryo"/>
          <w:color w:val="1F2430"/>
          <w:sz w:val="21"/>
          <w:szCs w:val="21"/>
        </w:rPr>
        <w:t xml:space="preserve">本手順書は、マグネットネイル（磁性粉を含むジェルネイル）がMRI検査に与える影響を定量的に評価するための実験手順を定める。</w:t>
      </w:r>
    </w:p>
    <w:p>
      <w:pPr>
        <w:spacing w:after="100" w:before="0" w:line="280"/>
      </w:pPr>
      <w:r>
        <w:rPr>
          <w:rFonts w:ascii="Meiryo" w:cs="Meiryo" w:eastAsia="Meiryo" w:hAnsi="Meiryo"/>
          <w:color w:val="1F2430"/>
          <w:sz w:val="21"/>
          <w:szCs w:val="21"/>
        </w:rPr>
        <w:t xml:space="preserve">評価の目的は、現行の「マグネットネイル装着者は一律に延期し、除去後に再予約する」という運用が、物理的根拠に照らして妥当かを検証し、必要であれば部位別の運用に置き換えるための根拠を得ることにある。</w:t>
      </w:r>
    </w:p>
    <w:p>
      <w:pPr>
        <w:spacing w:after="60"/>
      </w:pPr>
    </w:p>
    <w:p>
      <w:pPr>
        <w:spacing w:after="60" w:before="0" w:line="280"/>
      </w:pPr>
      <w:r>
        <w:rPr>
          <w:rFonts w:ascii="Meiryo" w:cs="Meiryo" w:eastAsia="Meiryo" w:hAnsi="Meiryo"/>
          <w:b/>
          <w:bCs/>
          <w:color w:val="1F2430"/>
          <w:sz w:val="21"/>
          <w:szCs w:val="21"/>
        </w:rPr>
        <w:t xml:space="preserve">評価する干渉経路は次の4つとする。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5038"/>
        <w:gridCol w:w="1500"/>
      </w:tblGrid>
      <w:tr>
        <w:trPr>
          <w:tblHeader/>
        </w:trPr>
        <w:tc>
          <w:tcPr>
            <w:tcW w:type="dxa" w:w="700"/>
            <w:shd w:fill="2E3A59" w:color="auto" w:val="clear"/>
            <w:tcMar>
              <w:top w:type="dxa" w:w="80"/>
              <w:left w:type="dxa" w:w="120"/>
              <w:bottom w:type="dxa" w:w="80"/>
              <w:right w:type="dxa" w:w="120"/>
            </w:tcMar>
          </w:tcPr>
          <w:p>
            <w:pPr>
              <w:spacing w:after="0" w:line="260"/>
              <w:jc w:val="center"/>
            </w:pPr>
            <w:r>
              <w:rPr>
                <w:rFonts w:ascii="Meiryo" w:cs="Meiryo" w:eastAsia="Meiryo" w:hAnsi="Meiryo"/>
                <w:b/>
                <w:bCs/>
                <w:color w:val="FFFFFF"/>
                <w:sz w:val="20"/>
                <w:szCs w:val="20"/>
              </w:rPr>
              <w:t xml:space="preserve">#</w:t>
            </w:r>
          </w:p>
        </w:tc>
        <w:tc>
          <w:tcPr>
            <w:tcW w:type="dxa" w:w="2400"/>
            <w:shd w:fill="2E3A59" w:color="auto" w:val="clear"/>
            <w:tcMar>
              <w:top w:type="dxa" w:w="80"/>
              <w:left w:type="dxa" w:w="120"/>
              <w:bottom w:type="dxa" w:w="80"/>
              <w:right w:type="dxa" w:w="120"/>
            </w:tcMar>
          </w:tcPr>
          <w:p>
            <w:pPr>
              <w:spacing w:after="0" w:line="260"/>
              <w:jc w:val="center"/>
            </w:pPr>
            <w:r>
              <w:rPr>
                <w:rFonts w:ascii="Meiryo" w:cs="Meiryo" w:eastAsia="Meiryo" w:hAnsi="Meiryo"/>
                <w:b/>
                <w:bCs/>
                <w:color w:val="FFFFFF"/>
                <w:sz w:val="20"/>
                <w:szCs w:val="20"/>
              </w:rPr>
              <w:t xml:space="preserve">経路</w:t>
            </w:r>
          </w:p>
        </w:tc>
        <w:tc>
          <w:tcPr>
            <w:tcW w:type="dxa" w:w="5038"/>
            <w:shd w:fill="2E3A59" w:color="auto" w:val="clear"/>
            <w:tcMar>
              <w:top w:type="dxa" w:w="80"/>
              <w:left w:type="dxa" w:w="120"/>
              <w:bottom w:type="dxa" w:w="80"/>
              <w:right w:type="dxa" w:w="120"/>
            </w:tcMar>
          </w:tcPr>
          <w:p>
            <w:pPr>
              <w:spacing w:after="0" w:line="260"/>
              <w:jc w:val="center"/>
            </w:pPr>
            <w:r>
              <w:rPr>
                <w:rFonts w:ascii="Meiryo" w:cs="Meiryo" w:eastAsia="Meiryo" w:hAnsi="Meiryo"/>
                <w:b/>
                <w:bCs/>
                <w:color w:val="FFFFFF"/>
                <w:sz w:val="20"/>
                <w:szCs w:val="20"/>
              </w:rPr>
              <w:t xml:space="preserve">評価する内容</w:t>
            </w:r>
          </w:p>
        </w:tc>
        <w:tc>
          <w:tcPr>
            <w:tcW w:type="dxa" w:w="1500"/>
            <w:shd w:fill="2E3A59" w:color="auto" w:val="clear"/>
            <w:tcMar>
              <w:top w:type="dxa" w:w="80"/>
              <w:left w:type="dxa" w:w="120"/>
              <w:bottom w:type="dxa" w:w="80"/>
              <w:right w:type="dxa" w:w="120"/>
            </w:tcMar>
          </w:tcPr>
          <w:p>
            <w:pPr>
              <w:spacing w:after="0" w:line="260"/>
              <w:jc w:val="center"/>
            </w:pPr>
            <w:r>
              <w:rPr>
                <w:rFonts w:ascii="Meiryo" w:cs="Meiryo" w:eastAsia="Meiryo" w:hAnsi="Meiryo"/>
                <w:b/>
                <w:bCs/>
                <w:color w:val="FFFFFF"/>
                <w:sz w:val="20"/>
                <w:szCs w:val="20"/>
              </w:rPr>
              <w:t xml:space="preserve">位置づけ</w:t>
            </w:r>
          </w:p>
        </w:tc>
      </w:tr>
      <w:tr>
        <w:tc>
          <w:tcPr>
            <w:tcW w:type="dxa" w:w="700"/>
            <w:shd w:fill="F2F4F8" w:color="auto" w:val="clear"/>
            <w:tcMar>
              <w:top w:type="dxa" w:w="80"/>
              <w:left w:type="dxa" w:w="120"/>
              <w:bottom w:type="dxa" w:w="80"/>
              <w:right w:type="dxa" w:w="120"/>
            </w:tcMar>
          </w:tcPr>
          <w:p>
            <w:pPr>
              <w:spacing w:after="0" w:line="260"/>
              <w:jc w:val="center"/>
            </w:pPr>
            <w:r>
              <w:rPr>
                <w:rFonts w:ascii="Meiryo" w:cs="Meiryo" w:eastAsia="Meiryo" w:hAnsi="Meiryo"/>
                <w:color w:val="1F2430"/>
                <w:sz w:val="20"/>
                <w:szCs w:val="20"/>
              </w:rPr>
              <w:t xml:space="preserve">①</w:t>
            </w:r>
          </w:p>
        </w:tc>
        <w:tc>
          <w:tcPr>
            <w:tcW w:type="dxa" w:w="24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磁気吸引力・トルク</w:t>
            </w:r>
          </w:p>
        </w:tc>
        <w:tc>
          <w:tcPr>
            <w:tcW w:type="dxa" w:w="5038"/>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静磁場勾配により試料が受ける力。剥離の可能性</w:t>
            </w:r>
          </w:p>
        </w:tc>
        <w:tc>
          <w:tcPr>
            <w:tcW w:type="dxa" w:w="15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主軸（手順A）</w:t>
            </w:r>
          </w:p>
        </w:tc>
      </w:tr>
      <w:tr>
        <w:tc>
          <w:tcPr>
            <w:tcW w:type="dxa" w:w="700"/>
            <w:tcMar>
              <w:top w:type="dxa" w:w="80"/>
              <w:left w:type="dxa" w:w="120"/>
              <w:bottom w:type="dxa" w:w="80"/>
              <w:right w:type="dxa" w:w="120"/>
            </w:tcMar>
          </w:tcPr>
          <w:p>
            <w:pPr>
              <w:spacing w:after="0" w:line="260"/>
              <w:jc w:val="center"/>
            </w:pPr>
            <w:r>
              <w:rPr>
                <w:rFonts w:ascii="Meiryo" w:cs="Meiryo" w:eastAsia="Meiryo" w:hAnsi="Meiryo"/>
                <w:color w:val="1F2430"/>
                <w:sz w:val="20"/>
                <w:szCs w:val="20"/>
              </w:rPr>
              <w:t xml:space="preserve">②</w:t>
            </w:r>
          </w:p>
        </w:tc>
        <w:tc>
          <w:tcPr>
            <w:tcW w:type="dxa" w:w="24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画像アーチファクト</w:t>
            </w:r>
          </w:p>
        </w:tc>
        <w:tc>
          <w:tcPr>
            <w:tcW w:type="dxa" w:w="50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磁化率差による信号消失域の広がりと、距離による減衰</w:t>
            </w:r>
          </w:p>
        </w:tc>
        <w:tc>
          <w:tcPr>
            <w:tcW w:type="dxa" w:w="15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主軸（手順B）</w:t>
            </w:r>
          </w:p>
        </w:tc>
      </w:tr>
      <w:tr>
        <w:tc>
          <w:tcPr>
            <w:tcW w:type="dxa" w:w="700"/>
            <w:shd w:fill="F2F4F8" w:color="auto" w:val="clear"/>
            <w:tcMar>
              <w:top w:type="dxa" w:w="80"/>
              <w:left w:type="dxa" w:w="120"/>
              <w:bottom w:type="dxa" w:w="80"/>
              <w:right w:type="dxa" w:w="120"/>
            </w:tcMar>
          </w:tcPr>
          <w:p>
            <w:pPr>
              <w:spacing w:after="0" w:line="260"/>
              <w:jc w:val="center"/>
            </w:pPr>
            <w:r>
              <w:rPr>
                <w:rFonts w:ascii="Meiryo" w:cs="Meiryo" w:eastAsia="Meiryo" w:hAnsi="Meiryo"/>
                <w:color w:val="1F2430"/>
                <w:sz w:val="20"/>
                <w:szCs w:val="20"/>
              </w:rPr>
              <w:t xml:space="preserve">③</w:t>
            </w:r>
          </w:p>
        </w:tc>
        <w:tc>
          <w:tcPr>
            <w:tcW w:type="dxa" w:w="24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RF発熱</w:t>
            </w:r>
          </w:p>
        </w:tc>
        <w:tc>
          <w:tcPr>
            <w:tcW w:type="dxa" w:w="5038"/>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導電性フレークへの渦電流誘導による温度上昇</w:t>
            </w:r>
          </w:p>
        </w:tc>
        <w:tc>
          <w:tcPr>
            <w:tcW w:type="dxa" w:w="15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補助（手順C）</w:t>
            </w:r>
          </w:p>
        </w:tc>
      </w:tr>
      <w:tr>
        <w:tc>
          <w:tcPr>
            <w:tcW w:type="dxa" w:w="700"/>
            <w:tcMar>
              <w:top w:type="dxa" w:w="80"/>
              <w:left w:type="dxa" w:w="120"/>
              <w:bottom w:type="dxa" w:w="80"/>
              <w:right w:type="dxa" w:w="120"/>
            </w:tcMar>
          </w:tcPr>
          <w:p>
            <w:pPr>
              <w:spacing w:after="0" w:line="260"/>
              <w:jc w:val="center"/>
            </w:pPr>
            <w:r>
              <w:rPr>
                <w:rFonts w:ascii="Meiryo" w:cs="Meiryo" w:eastAsia="Meiryo" w:hAnsi="Meiryo"/>
                <w:color w:val="1F2430"/>
                <w:sz w:val="20"/>
                <w:szCs w:val="20"/>
              </w:rPr>
              <w:t xml:space="preserve">④</w:t>
            </w:r>
          </w:p>
        </w:tc>
        <w:tc>
          <w:tcPr>
            <w:tcW w:type="dxa" w:w="24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配向異方性</w:t>
            </w:r>
          </w:p>
        </w:tc>
        <w:tc>
          <w:tcPr>
            <w:tcW w:type="dxa" w:w="50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磁性粉の整列方向が①②に与える影響</w:t>
            </w:r>
          </w:p>
        </w:tc>
        <w:tc>
          <w:tcPr>
            <w:tcW w:type="dxa" w:w="15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発展（手順D）</w:t>
            </w:r>
          </w:p>
        </w:tc>
      </w:tr>
    </w:tbl>
    <w:p>
      <w:pPr>
        <w:pStyle w:val="Heading1"/>
        <w:spacing w:after="160" w:before="320"/>
      </w:pPr>
      <w:r>
        <w:rPr>
          <w:rFonts w:ascii="Meiryo" w:cs="Meiryo" w:eastAsia="Meiryo" w:hAnsi="Meiryo"/>
          <w:b/>
          <w:bCs/>
          <w:color w:val="0F1626"/>
          <w:sz w:val="26"/>
          <w:szCs w:val="26"/>
        </w:rPr>
        <w:t xml:space="preserve">2　適用範囲</w:t>
      </w:r>
    </w:p>
    <w:p>
      <w:pPr>
        <w:spacing w:after="100" w:before="0" w:line="280"/>
      </w:pPr>
      <w:r>
        <w:rPr>
          <w:rFonts w:ascii="Meiryo" w:cs="Meiryo" w:eastAsia="Meiryo" w:hAnsi="Meiryo"/>
          <w:color w:val="1F2430"/>
          <w:sz w:val="21"/>
          <w:szCs w:val="21"/>
        </w:rPr>
        <w:t xml:space="preserve">本手順書は、本研究に従事するすべての者に適用する。実機を用いる手順A・B・C・Dは、診療放射線技師の監督下でのみ実施できる。</w:t>
      </w:r>
    </w:p>
    <w:p>
      <w:pPr>
        <w:spacing w:after="100" w:before="0" w:line="280"/>
      </w:pPr>
      <w:r>
        <w:rPr>
          <w:rFonts w:ascii="Meiryo" w:cs="Meiryo" w:eastAsia="Meiryo" w:hAnsi="Meiryo"/>
          <w:color w:val="1F2430"/>
          <w:sz w:val="21"/>
          <w:szCs w:val="21"/>
        </w:rPr>
        <w:t xml:space="preserve">手順E-1（後ろ向き調査）および手順E-3（簡易テストの性能評価）は、実機を使用しないため、別途院内の承認手続きに従って実施する。</w:t>
      </w:r>
    </w:p>
    <w:p>
      <w:pPr>
        <w:pStyle w:val="Heading1"/>
        <w:spacing w:after="160" w:before="320"/>
      </w:pPr>
      <w:r>
        <w:rPr>
          <w:rFonts w:ascii="Meiryo" w:cs="Meiryo" w:eastAsia="Meiryo" w:hAnsi="Meiryo"/>
          <w:b/>
          <w:bCs/>
          <w:color w:val="0F1626"/>
          <w:sz w:val="26"/>
          <w:szCs w:val="26"/>
        </w:rPr>
        <w:t xml:space="preserve">3　安全上の遵守事項</w:t>
      </w:r>
    </w:p>
    <w:p>
      <w:pPr>
        <w:spacing w:after="100" w:before="0" w:line="280"/>
      </w:pPr>
      <w:r>
        <w:rPr>
          <w:rFonts w:ascii="Meiryo" w:cs="Meiryo" w:eastAsia="Meiryo" w:hAnsi="Meiryo"/>
          <w:b/>
          <w:bCs/>
          <w:color w:val="B5326A"/>
          <w:sz w:val="21"/>
          <w:szCs w:val="21"/>
        </w:rPr>
        <w:t xml:space="preserve">以下は例外を認めない。1つでも満たせない場合、その日の作業は実施しない。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6038"/>
      </w:tblGrid>
      <w:tr>
        <w:trPr>
          <w:tblHeader/>
        </w:trPr>
        <w:tc>
          <w:tcPr>
            <w:tcW w:type="dxa" w:w="600"/>
            <w:shd w:fill="2E3A59" w:color="auto" w:val="clear"/>
            <w:tcMar>
              <w:top w:type="dxa" w:w="80"/>
              <w:left w:type="dxa" w:w="120"/>
              <w:bottom w:type="dxa" w:w="80"/>
              <w:right w:type="dxa" w:w="120"/>
            </w:tcMar>
          </w:tcPr>
          <w:p>
            <w:pPr>
              <w:spacing w:after="0" w:line="260"/>
              <w:jc w:val="center"/>
            </w:pPr>
            <w:r>
              <w:rPr>
                <w:rFonts w:ascii="Meiryo" w:cs="Meiryo" w:eastAsia="Meiryo" w:hAnsi="Meiryo"/>
                <w:b/>
                <w:bCs/>
                <w:color w:val="FFFFFF"/>
                <w:sz w:val="20"/>
                <w:szCs w:val="20"/>
              </w:rPr>
              <w:t xml:space="preserve">#</w:t>
            </w:r>
          </w:p>
        </w:tc>
        <w:tc>
          <w:tcPr>
            <w:tcW w:type="dxa" w:w="3000"/>
            <w:shd w:fill="2E3A59" w:color="auto" w:val="clear"/>
            <w:tcMar>
              <w:top w:type="dxa" w:w="80"/>
              <w:left w:type="dxa" w:w="120"/>
              <w:bottom w:type="dxa" w:w="80"/>
              <w:right w:type="dxa" w:w="120"/>
            </w:tcMar>
          </w:tcPr>
          <w:p>
            <w:pPr>
              <w:spacing w:after="0" w:line="260"/>
              <w:jc w:val="center"/>
            </w:pPr>
            <w:r>
              <w:rPr>
                <w:rFonts w:ascii="Meiryo" w:cs="Meiryo" w:eastAsia="Meiryo" w:hAnsi="Meiryo"/>
                <w:b/>
                <w:bCs/>
                <w:color w:val="FFFFFF"/>
                <w:sz w:val="20"/>
                <w:szCs w:val="20"/>
              </w:rPr>
              <w:t xml:space="preserve">遵守事項</w:t>
            </w:r>
          </w:p>
        </w:tc>
        <w:tc>
          <w:tcPr>
            <w:tcW w:type="dxa" w:w="6038"/>
            <w:shd w:fill="2E3A59" w:color="auto" w:val="clear"/>
            <w:tcMar>
              <w:top w:type="dxa" w:w="80"/>
              <w:left w:type="dxa" w:w="120"/>
              <w:bottom w:type="dxa" w:w="80"/>
              <w:right w:type="dxa" w:w="120"/>
            </w:tcMar>
          </w:tcPr>
          <w:p>
            <w:pPr>
              <w:spacing w:after="0" w:line="260"/>
              <w:jc w:val="center"/>
            </w:pPr>
            <w:r>
              <w:rPr>
                <w:rFonts w:ascii="Meiryo" w:cs="Meiryo" w:eastAsia="Meiryo" w:hAnsi="Meiryo"/>
                <w:b/>
                <w:bCs/>
                <w:color w:val="FFFFFF"/>
                <w:sz w:val="20"/>
                <w:szCs w:val="20"/>
              </w:rPr>
              <w:t xml:space="preserve">内容</w:t>
            </w:r>
          </w:p>
        </w:tc>
      </w:tr>
      <w:tr>
        <w:tc>
          <w:tcPr>
            <w:tcW w:type="dxa" w:w="600"/>
            <w:shd w:fill="F2F4F8" w:color="auto" w:val="clear"/>
            <w:tcMar>
              <w:top w:type="dxa" w:w="80"/>
              <w:left w:type="dxa" w:w="120"/>
              <w:bottom w:type="dxa" w:w="80"/>
              <w:right w:type="dxa" w:w="120"/>
            </w:tcMar>
          </w:tcPr>
          <w:p>
            <w:pPr>
              <w:spacing w:after="0" w:line="260"/>
              <w:jc w:val="center"/>
            </w:pPr>
            <w:r>
              <w:rPr>
                <w:rFonts w:ascii="Meiryo" w:cs="Meiryo" w:eastAsia="Meiryo" w:hAnsi="Meiryo"/>
                <w:color w:val="1F2430"/>
                <w:sz w:val="20"/>
                <w:szCs w:val="20"/>
              </w:rPr>
              <w:t xml:space="preserve">1</w:t>
            </w:r>
          </w:p>
        </w:tc>
        <w:tc>
          <w:tcPr>
            <w:tcW w:type="dxa" w:w="30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人体を撮影しない</w:t>
            </w:r>
          </w:p>
        </w:tc>
        <w:tc>
          <w:tcPr>
            <w:tcW w:type="dxa" w:w="6038"/>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自分自身の手を含め、いかなる人体も撮影の対象にしない。撮影はファントムのみ。</w:t>
            </w:r>
          </w:p>
        </w:tc>
      </w:tr>
      <w:tr>
        <w:tc>
          <w:tcPr>
            <w:tcW w:type="dxa" w:w="600"/>
            <w:tcMar>
              <w:top w:type="dxa" w:w="80"/>
              <w:left w:type="dxa" w:w="120"/>
              <w:bottom w:type="dxa" w:w="80"/>
              <w:right w:type="dxa" w:w="120"/>
            </w:tcMar>
          </w:tcPr>
          <w:p>
            <w:pPr>
              <w:spacing w:after="0" w:line="260"/>
              <w:jc w:val="center"/>
            </w:pPr>
            <w:r>
              <w:rPr>
                <w:rFonts w:ascii="Meiryo" w:cs="Meiryo" w:eastAsia="Meiryo" w:hAnsi="Meiryo"/>
                <w:color w:val="1F2430"/>
                <w:sz w:val="20"/>
                <w:szCs w:val="20"/>
              </w:rPr>
              <w:t xml:space="preserve">2</w:t>
            </w:r>
          </w:p>
        </w:tc>
        <w:tc>
          <w:tcPr>
            <w:tcW w:type="dxa" w:w="30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強力磁石を持ち込まない</w:t>
            </w:r>
          </w:p>
        </w:tc>
        <w:tc>
          <w:tcPr>
            <w:tcW w:type="dxa" w:w="60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ネオジム磁石は検査室に持ち込まない。模様付けと硬化は検査室外で完了させ、硬化済み試料のみ持ち込む。</w:t>
            </w:r>
          </w:p>
        </w:tc>
      </w:tr>
      <w:tr>
        <w:tc>
          <w:tcPr>
            <w:tcW w:type="dxa" w:w="600"/>
            <w:shd w:fill="F2F4F8" w:color="auto" w:val="clear"/>
            <w:tcMar>
              <w:top w:type="dxa" w:w="80"/>
              <w:left w:type="dxa" w:w="120"/>
              <w:bottom w:type="dxa" w:w="80"/>
              <w:right w:type="dxa" w:w="120"/>
            </w:tcMar>
          </w:tcPr>
          <w:p>
            <w:pPr>
              <w:spacing w:after="0" w:line="260"/>
              <w:jc w:val="center"/>
            </w:pPr>
            <w:r>
              <w:rPr>
                <w:rFonts w:ascii="Meiryo" w:cs="Meiryo" w:eastAsia="Meiryo" w:hAnsi="Meiryo"/>
                <w:color w:val="1F2430"/>
                <w:sz w:val="20"/>
                <w:szCs w:val="20"/>
              </w:rPr>
              <w:t xml:space="preserve">3</w:t>
            </w:r>
          </w:p>
        </w:tc>
        <w:tc>
          <w:tcPr>
            <w:tcW w:type="dxa" w:w="30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磁性体・金属を持ち込まない</w:t>
            </w:r>
          </w:p>
        </w:tc>
        <w:tc>
          <w:tcPr>
            <w:tcW w:type="dxa" w:w="6038"/>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金属製の温度計・工具・治具・クリップ類を持ち込まない。治具は樹脂・木材など非磁性材で製作する。</w:t>
            </w:r>
          </w:p>
        </w:tc>
      </w:tr>
      <w:tr>
        <w:tc>
          <w:tcPr>
            <w:tcW w:type="dxa" w:w="600"/>
            <w:tcMar>
              <w:top w:type="dxa" w:w="80"/>
              <w:left w:type="dxa" w:w="120"/>
              <w:bottom w:type="dxa" w:w="80"/>
              <w:right w:type="dxa" w:w="120"/>
            </w:tcMar>
          </w:tcPr>
          <w:p>
            <w:pPr>
              <w:spacing w:after="0" w:line="260"/>
              <w:jc w:val="center"/>
            </w:pPr>
            <w:r>
              <w:rPr>
                <w:rFonts w:ascii="Meiryo" w:cs="Meiryo" w:eastAsia="Meiryo" w:hAnsi="Meiryo"/>
                <w:color w:val="1F2430"/>
                <w:sz w:val="20"/>
                <w:szCs w:val="20"/>
              </w:rPr>
              <w:t xml:space="preserve">4</w:t>
            </w:r>
          </w:p>
        </w:tc>
        <w:tc>
          <w:tcPr>
            <w:tcW w:type="dxa" w:w="30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試料を固定し索を付ける</w:t>
            </w:r>
          </w:p>
        </w:tc>
        <w:tc>
          <w:tcPr>
            <w:tcW w:type="dxa" w:w="60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微小な試料でも吸着の可能性を前提とする。全試料を確実に固定し、回収用の索を付ける。</w:t>
            </w:r>
          </w:p>
        </w:tc>
      </w:tr>
      <w:tr>
        <w:tc>
          <w:tcPr>
            <w:tcW w:type="dxa" w:w="600"/>
            <w:shd w:fill="F2F4F8" w:color="auto" w:val="clear"/>
            <w:tcMar>
              <w:top w:type="dxa" w:w="80"/>
              <w:left w:type="dxa" w:w="120"/>
              <w:bottom w:type="dxa" w:w="80"/>
              <w:right w:type="dxa" w:w="120"/>
            </w:tcMar>
          </w:tcPr>
          <w:p>
            <w:pPr>
              <w:spacing w:after="0" w:line="260"/>
              <w:jc w:val="center"/>
            </w:pPr>
            <w:r>
              <w:rPr>
                <w:rFonts w:ascii="Meiryo" w:cs="Meiryo" w:eastAsia="Meiryo" w:hAnsi="Meiryo"/>
                <w:color w:val="1F2430"/>
                <w:sz w:val="20"/>
                <w:szCs w:val="20"/>
              </w:rPr>
              <w:t xml:space="preserve">5</w:t>
            </w:r>
          </w:p>
        </w:tc>
        <w:tc>
          <w:tcPr>
            <w:tcW w:type="dxa" w:w="30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2名以上で実施する</w:t>
            </w:r>
          </w:p>
        </w:tc>
        <w:tc>
          <w:tcPr>
            <w:tcW w:type="dxa" w:w="6038"/>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時間外の単独作業を禁止する。緊急時の対応者を確保する。</w:t>
            </w:r>
          </w:p>
        </w:tc>
      </w:tr>
      <w:tr>
        <w:tc>
          <w:tcPr>
            <w:tcW w:type="dxa" w:w="600"/>
            <w:tcMar>
              <w:top w:type="dxa" w:w="80"/>
              <w:left w:type="dxa" w:w="120"/>
              <w:bottom w:type="dxa" w:w="80"/>
              <w:right w:type="dxa" w:w="120"/>
            </w:tcMar>
          </w:tcPr>
          <w:p>
            <w:pPr>
              <w:spacing w:after="0" w:line="260"/>
              <w:jc w:val="center"/>
            </w:pPr>
            <w:r>
              <w:rPr>
                <w:rFonts w:ascii="Meiryo" w:cs="Meiryo" w:eastAsia="Meiryo" w:hAnsi="Meiryo"/>
                <w:color w:val="1F2430"/>
                <w:sz w:val="20"/>
                <w:szCs w:val="20"/>
              </w:rPr>
              <w:t xml:space="preserve">6</w:t>
            </w:r>
          </w:p>
        </w:tc>
        <w:tc>
          <w:tcPr>
            <w:tcW w:type="dxa" w:w="30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中止基準を事前共有する</w:t>
            </w:r>
          </w:p>
        </w:tc>
        <w:tc>
          <w:tcPr>
            <w:tcW w:type="dxa" w:w="60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異音、試料のズレ、示温ラベルの想定外の変色を認めた場合は即時中断する（第15章）。</w:t>
            </w:r>
          </w:p>
        </w:tc>
      </w:tr>
      <w:tr>
        <w:tc>
          <w:tcPr>
            <w:tcW w:type="dxa" w:w="600"/>
            <w:shd w:fill="F2F4F8" w:color="auto" w:val="clear"/>
            <w:tcMar>
              <w:top w:type="dxa" w:w="80"/>
              <w:left w:type="dxa" w:w="120"/>
              <w:bottom w:type="dxa" w:w="80"/>
              <w:right w:type="dxa" w:w="120"/>
            </w:tcMar>
          </w:tcPr>
          <w:p>
            <w:pPr>
              <w:spacing w:after="0" w:line="260"/>
              <w:jc w:val="center"/>
            </w:pPr>
            <w:r>
              <w:rPr>
                <w:rFonts w:ascii="Meiryo" w:cs="Meiryo" w:eastAsia="Meiryo" w:hAnsi="Meiryo"/>
                <w:color w:val="1F2430"/>
                <w:sz w:val="20"/>
                <w:szCs w:val="20"/>
              </w:rPr>
              <w:t xml:space="preserve">7</w:t>
            </w:r>
          </w:p>
        </w:tc>
        <w:tc>
          <w:tcPr>
            <w:tcW w:type="dxa" w:w="30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持ち込み物を記録する</w:t>
            </w:r>
          </w:p>
        </w:tc>
        <w:tc>
          <w:tcPr>
            <w:tcW w:type="dxa" w:w="6038"/>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入室前と退室後に持ち込み物を数え、一致を確認する。</w:t>
            </w:r>
          </w:p>
        </w:tc>
      </w:tr>
      <w:tr>
        <w:tc>
          <w:tcPr>
            <w:tcW w:type="dxa" w:w="600"/>
            <w:tcMar>
              <w:top w:type="dxa" w:w="80"/>
              <w:left w:type="dxa" w:w="120"/>
              <w:bottom w:type="dxa" w:w="80"/>
              <w:right w:type="dxa" w:w="120"/>
            </w:tcMar>
          </w:tcPr>
          <w:p>
            <w:pPr>
              <w:spacing w:after="0" w:line="260"/>
              <w:jc w:val="center"/>
            </w:pPr>
            <w:r>
              <w:rPr>
                <w:rFonts w:ascii="Meiryo" w:cs="Meiryo" w:eastAsia="Meiryo" w:hAnsi="Meiryo"/>
                <w:color w:val="1F2430"/>
                <w:sz w:val="20"/>
                <w:szCs w:val="20"/>
              </w:rPr>
              <w:t xml:space="preserve">8</w:t>
            </w:r>
          </w:p>
        </w:tc>
        <w:tc>
          <w:tcPr>
            <w:tcW w:type="dxa" w:w="30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院内の承認を得る</w:t>
            </w:r>
          </w:p>
        </w:tc>
        <w:tc>
          <w:tcPr>
            <w:tcW w:type="dxa" w:w="60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データの利用範囲、施設名・装置機種の公表可否について事前に承認を得る。</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BE3E6" w:color="auto" w:val="clear"/>
            <w:tcMar>
              <w:top w:type="dxa" w:w="140"/>
              <w:left w:type="dxa" w:w="180"/>
              <w:bottom w:type="dxa" w:w="140"/>
              <w:right w:type="dxa" w:w="180"/>
            </w:tcMar>
          </w:tcPr>
          <w:p>
            <w:pPr>
              <w:spacing w:after="80"/>
            </w:pPr>
            <w:r>
              <w:rPr>
                <w:rFonts w:ascii="Meiryo" w:cs="Meiryo" w:eastAsia="Meiryo" w:hAnsi="Meiryo"/>
                <w:b/>
                <w:bCs/>
                <w:color w:val="B5326A"/>
                <w:sz w:val="21"/>
                <w:szCs w:val="21"/>
              </w:rPr>
              <w:t xml:space="preserve">なぜ強力磁石の持ち込みが特に危険か</w:t>
            </w:r>
          </w:p>
          <w:p>
            <w:pPr>
              <w:spacing w:after="40" w:line="270"/>
            </w:pPr>
            <w:r>
              <w:rPr>
                <w:rFonts w:ascii="Meiryo" w:cs="Meiryo" w:eastAsia="Meiryo" w:hAnsi="Meiryo"/>
                <w:sz w:val="20"/>
                <w:szCs w:val="20"/>
              </w:rPr>
              <w:t xml:space="preserve">ネオジム磁石は静磁場に強く引かれ、手から離れた瞬間にガントリーへ高速で飛翔する。装置の損傷だけでなく、経路上にいる人に重傷を負わせる。作業の都合でその場に持ち込みたくなる場面が必ず生じるが、例外を作らないこと。</w:t>
            </w:r>
          </w:p>
        </w:tc>
      </w:tr>
    </w:tbl>
    <w:p>
      <w:pPr>
        <w:pStyle w:val="Heading1"/>
        <w:spacing w:after="160" w:before="320"/>
      </w:pPr>
      <w:r>
        <w:rPr>
          <w:rFonts w:ascii="Meiryo" w:cs="Meiryo" w:eastAsia="Meiryo" w:hAnsi="Meiryo"/>
          <w:b/>
          <w:bCs/>
          <w:color w:val="0F1626"/>
          <w:sz w:val="26"/>
          <w:szCs w:val="26"/>
        </w:rPr>
        <w:t xml:space="preserve">4　体制と役割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838"/>
      </w:tblGrid>
      <w:tr>
        <w:trPr>
          <w:tblHeader/>
        </w:trPr>
        <w:tc>
          <w:tcPr>
            <w:tcW w:type="dxa" w:w="2200"/>
            <w:shd w:fill="2E3A59" w:color="auto" w:val="clear"/>
            <w:tcMar>
              <w:top w:type="dxa" w:w="80"/>
              <w:left w:type="dxa" w:w="120"/>
              <w:bottom w:type="dxa" w:w="80"/>
              <w:right w:type="dxa" w:w="120"/>
            </w:tcMar>
          </w:tcPr>
          <w:p>
            <w:pPr>
              <w:spacing w:after="0" w:line="260"/>
              <w:jc w:val="center"/>
            </w:pPr>
            <w:r>
              <w:rPr>
                <w:rFonts w:ascii="Meiryo" w:cs="Meiryo" w:eastAsia="Meiryo" w:hAnsi="Meiryo"/>
                <w:b/>
                <w:bCs/>
                <w:color w:val="FFFFFF"/>
                <w:sz w:val="20"/>
                <w:szCs w:val="20"/>
              </w:rPr>
              <w:t xml:space="preserve">役割</w:t>
            </w:r>
          </w:p>
        </w:tc>
        <w:tc>
          <w:tcPr>
            <w:tcW w:type="dxa" w:w="2600"/>
            <w:shd w:fill="2E3A59" w:color="auto" w:val="clear"/>
            <w:tcMar>
              <w:top w:type="dxa" w:w="80"/>
              <w:left w:type="dxa" w:w="120"/>
              <w:bottom w:type="dxa" w:w="80"/>
              <w:right w:type="dxa" w:w="120"/>
            </w:tcMar>
          </w:tcPr>
          <w:p>
            <w:pPr>
              <w:spacing w:after="0" w:line="260"/>
              <w:jc w:val="center"/>
            </w:pPr>
            <w:r>
              <w:rPr>
                <w:rFonts w:ascii="Meiryo" w:cs="Meiryo" w:eastAsia="Meiryo" w:hAnsi="Meiryo"/>
                <w:b/>
                <w:bCs/>
                <w:color w:val="FFFFFF"/>
                <w:sz w:val="20"/>
                <w:szCs w:val="20"/>
              </w:rPr>
              <w:t xml:space="preserve">担当</w:t>
            </w:r>
          </w:p>
        </w:tc>
        <w:tc>
          <w:tcPr>
            <w:tcW w:type="dxa" w:w="4838"/>
            <w:shd w:fill="2E3A59" w:color="auto" w:val="clear"/>
            <w:tcMar>
              <w:top w:type="dxa" w:w="80"/>
              <w:left w:type="dxa" w:w="120"/>
              <w:bottom w:type="dxa" w:w="80"/>
              <w:right w:type="dxa" w:w="120"/>
            </w:tcMar>
          </w:tcPr>
          <w:p>
            <w:pPr>
              <w:spacing w:after="0" w:line="260"/>
              <w:jc w:val="center"/>
            </w:pPr>
            <w:r>
              <w:rPr>
                <w:rFonts w:ascii="Meiryo" w:cs="Meiryo" w:eastAsia="Meiryo" w:hAnsi="Meiryo"/>
                <w:b/>
                <w:bCs/>
                <w:color w:val="FFFFFF"/>
                <w:sz w:val="20"/>
                <w:szCs w:val="20"/>
              </w:rPr>
              <w:t xml:space="preserve">責務</w:t>
            </w:r>
          </w:p>
        </w:tc>
      </w:tr>
      <w:tr>
        <w:tc>
          <w:tcPr>
            <w:tcW w:type="dxa" w:w="22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実施責任者</w:t>
            </w:r>
          </w:p>
        </w:tc>
        <w:tc>
          <w:tcPr>
            <w:tcW w:type="dxa" w:w="26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
            </w:r>
          </w:p>
        </w:tc>
        <w:tc>
          <w:tcPr>
            <w:tcW w:type="dxa" w:w="4838"/>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全体の統括。中止判断。院内手続き。記録の最終確認。</w:t>
            </w:r>
          </w:p>
        </w:tc>
      </w:tr>
      <w:tr>
        <w:tc>
          <w:tcPr>
            <w:tcW w:type="dxa" w:w="22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撮影担当</w:t>
            </w:r>
          </w:p>
        </w:tc>
        <w:tc>
          <w:tcPr>
            <w:tcW w:type="dxa" w:w="26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
            </w:r>
          </w:p>
        </w:tc>
        <w:tc>
          <w:tcPr>
            <w:tcW w:type="dxa" w:w="48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装置の操作。撮影条件の設定と記録。</w:t>
            </w:r>
          </w:p>
        </w:tc>
      </w:tr>
      <w:tr>
        <w:tc>
          <w:tcPr>
            <w:tcW w:type="dxa" w:w="22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試料担当</w:t>
            </w:r>
          </w:p>
        </w:tc>
        <w:tc>
          <w:tcPr>
            <w:tcW w:type="dxa" w:w="26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
            </w:r>
          </w:p>
        </w:tc>
        <w:tc>
          <w:tcPr>
            <w:tcW w:type="dxa" w:w="4838"/>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試料の作製・搬入・設置・回収。点数の照合。</w:t>
            </w:r>
          </w:p>
        </w:tc>
      </w:tr>
      <w:tr>
        <w:tc>
          <w:tcPr>
            <w:tcW w:type="dxa" w:w="22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記録担当</w:t>
            </w:r>
          </w:p>
        </w:tc>
        <w:tc>
          <w:tcPr>
            <w:tcW w:type="dxa" w:w="26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
            </w:r>
          </w:p>
        </w:tc>
        <w:tc>
          <w:tcPr>
            <w:tcW w:type="dxa" w:w="48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ワークブックへの入力。撮影ログと安全チェックリストの記入。</w:t>
            </w:r>
          </w:p>
        </w:tc>
      </w:tr>
    </w:tbl>
    <w:p>
      <w:pPr>
        <w:spacing w:after="80"/>
      </w:pPr>
    </w:p>
    <w:p>
      <w:pPr>
        <w:spacing w:after="100" w:before="0" w:line="280"/>
      </w:pPr>
      <w:r>
        <w:rPr>
          <w:rFonts w:ascii="Meiryo" w:cs="Meiryo" w:eastAsia="Meiryo" w:hAnsi="Meiryo"/>
          <w:color w:val="6B7280"/>
          <w:sz w:val="20"/>
          <w:szCs w:val="20"/>
        </w:rPr>
        <w:t xml:space="preserve">1名が複数の役割を兼ねてよいが、実施責任者と撮影担当を同一人物が兼ねる場合でも、立会者を含め必ず2名以上とする。</w:t>
      </w:r>
    </w:p>
    <w:p>
      <w:pPr>
        <w:pStyle w:val="Heading1"/>
        <w:spacing w:after="160" w:before="320"/>
      </w:pPr>
      <w:r>
        <w:rPr>
          <w:rFonts w:ascii="Meiryo" w:cs="Meiryo" w:eastAsia="Meiryo" w:hAnsi="Meiryo"/>
          <w:b/>
          <w:bCs/>
          <w:color w:val="0F1626"/>
          <w:sz w:val="26"/>
          <w:szCs w:val="26"/>
        </w:rPr>
        <w:t xml:space="preserve">5　機材・消耗品</w:t>
      </w:r>
    </w:p>
    <w:p>
      <w:pPr>
        <w:pStyle w:val="Heading2"/>
        <w:spacing w:after="120" w:before="220"/>
      </w:pPr>
      <w:r>
        <w:rPr>
          <w:rFonts w:ascii="Meiryo" w:cs="Meiryo" w:eastAsia="Meiryo" w:hAnsi="Meiryo"/>
          <w:b/>
          <w:bCs/>
          <w:color w:val="1B9AAA"/>
          <w:sz w:val="22"/>
          <w:szCs w:val="22"/>
        </w:rPr>
        <w:t xml:space="preserve">5.1　試料の作製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638"/>
        <w:gridCol w:w="1400"/>
      </w:tblGrid>
      <w:tr>
        <w:trPr>
          <w:tblHeader/>
        </w:trPr>
        <w:tc>
          <w:tcPr>
            <w:tcW w:type="dxa" w:w="2600"/>
            <w:shd w:fill="2E3A59" w:color="auto" w:val="clear"/>
            <w:tcMar>
              <w:top w:type="dxa" w:w="80"/>
              <w:left w:type="dxa" w:w="120"/>
              <w:bottom w:type="dxa" w:w="80"/>
              <w:right w:type="dxa" w:w="120"/>
            </w:tcMar>
          </w:tcPr>
          <w:p>
            <w:pPr>
              <w:spacing w:after="0" w:line="260"/>
              <w:jc w:val="center"/>
            </w:pPr>
            <w:r>
              <w:rPr>
                <w:rFonts w:ascii="Meiryo" w:cs="Meiryo" w:eastAsia="Meiryo" w:hAnsi="Meiryo"/>
                <w:b/>
                <w:bCs/>
                <w:color w:val="FFFFFF"/>
                <w:sz w:val="20"/>
                <w:szCs w:val="20"/>
              </w:rPr>
              <w:t xml:space="preserve">品目</w:t>
            </w:r>
          </w:p>
        </w:tc>
        <w:tc>
          <w:tcPr>
            <w:tcW w:type="dxa" w:w="5638"/>
            <w:shd w:fill="2E3A59" w:color="auto" w:val="clear"/>
            <w:tcMar>
              <w:top w:type="dxa" w:w="80"/>
              <w:left w:type="dxa" w:w="120"/>
              <w:bottom w:type="dxa" w:w="80"/>
              <w:right w:type="dxa" w:w="120"/>
            </w:tcMar>
          </w:tcPr>
          <w:p>
            <w:pPr>
              <w:spacing w:after="0" w:line="260"/>
              <w:jc w:val="center"/>
            </w:pPr>
            <w:r>
              <w:rPr>
                <w:rFonts w:ascii="Meiryo" w:cs="Meiryo" w:eastAsia="Meiryo" w:hAnsi="Meiryo"/>
                <w:b/>
                <w:bCs/>
                <w:color w:val="FFFFFF"/>
                <w:sz w:val="20"/>
                <w:szCs w:val="20"/>
              </w:rPr>
              <w:t xml:space="preserve">仕様・用途</w:t>
            </w:r>
          </w:p>
        </w:tc>
        <w:tc>
          <w:tcPr>
            <w:tcW w:type="dxa" w:w="1400"/>
            <w:shd w:fill="2E3A59" w:color="auto" w:val="clear"/>
            <w:tcMar>
              <w:top w:type="dxa" w:w="80"/>
              <w:left w:type="dxa" w:w="120"/>
              <w:bottom w:type="dxa" w:w="80"/>
              <w:right w:type="dxa" w:w="120"/>
            </w:tcMar>
          </w:tcPr>
          <w:p>
            <w:pPr>
              <w:spacing w:after="0" w:line="260"/>
              <w:jc w:val="center"/>
            </w:pPr>
            <w:r>
              <w:rPr>
                <w:rFonts w:ascii="Meiryo" w:cs="Meiryo" w:eastAsia="Meiryo" w:hAnsi="Meiryo"/>
                <w:b/>
                <w:bCs/>
                <w:color w:val="FFFFFF"/>
                <w:sz w:val="20"/>
                <w:szCs w:val="20"/>
              </w:rPr>
              <w:t xml:space="preserve">数量</w:t>
            </w:r>
          </w:p>
        </w:tc>
      </w:tr>
      <w:tr>
        <w:tc>
          <w:tcPr>
            <w:tcW w:type="dxa" w:w="26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マグネットネイル</w:t>
            </w:r>
          </w:p>
        </w:tc>
        <w:tc>
          <w:tcPr>
            <w:tcW w:type="dxa" w:w="5638"/>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供試製品。製品名は伏せて製品A・B…と記号化する</w:t>
            </w:r>
          </w:p>
        </w:tc>
        <w:tc>
          <w:tcPr>
            <w:tcW w:type="dxa" w:w="1400"/>
            <w:shd w:fill="F2F4F8" w:color="auto" w:val="clear"/>
            <w:tcMar>
              <w:top w:type="dxa" w:w="80"/>
              <w:left w:type="dxa" w:w="120"/>
              <w:bottom w:type="dxa" w:w="80"/>
              <w:right w:type="dxa" w:w="120"/>
            </w:tcMar>
          </w:tcPr>
          <w:p>
            <w:pPr>
              <w:spacing w:after="0" w:line="260"/>
              <w:jc w:val="center"/>
            </w:pPr>
            <w:r>
              <w:rPr>
                <w:rFonts w:ascii="Meiryo" w:cs="Meiryo" w:eastAsia="Meiryo" w:hAnsi="Meiryo"/>
                <w:color w:val="1F2430"/>
                <w:sz w:val="20"/>
                <w:szCs w:val="20"/>
              </w:rPr>
              <w:t xml:space="preserve">10製品以上</w:t>
            </w:r>
          </w:p>
        </w:tc>
      </w:tr>
      <w:tr>
        <w:tc>
          <w:tcPr>
            <w:tcW w:type="dxa" w:w="26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対照試料</w:t>
            </w:r>
          </w:p>
        </w:tc>
        <w:tc>
          <w:tcPr>
            <w:tcW w:type="dxa" w:w="56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透明ジェル、カラージェル、ラメ入り</w:t>
            </w:r>
          </w:p>
        </w:tc>
        <w:tc>
          <w:tcPr>
            <w:tcW w:type="dxa" w:w="1400"/>
            <w:tcMar>
              <w:top w:type="dxa" w:w="80"/>
              <w:left w:type="dxa" w:w="120"/>
              <w:bottom w:type="dxa" w:w="80"/>
              <w:right w:type="dxa" w:w="120"/>
            </w:tcMar>
          </w:tcPr>
          <w:p>
            <w:pPr>
              <w:spacing w:after="0" w:line="260"/>
              <w:jc w:val="center"/>
            </w:pPr>
            <w:r>
              <w:rPr>
                <w:rFonts w:ascii="Meiryo" w:cs="Meiryo" w:eastAsia="Meiryo" w:hAnsi="Meiryo"/>
                <w:color w:val="1F2430"/>
                <w:sz w:val="20"/>
                <w:szCs w:val="20"/>
              </w:rPr>
              <w:t xml:space="preserve">各1</w:t>
            </w:r>
          </w:p>
        </w:tc>
      </w:tr>
      <w:tr>
        <w:tc>
          <w:tcPr>
            <w:tcW w:type="dxa" w:w="26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ネイルチップ</w:t>
            </w:r>
          </w:p>
        </w:tc>
        <w:tc>
          <w:tcPr>
            <w:tcW w:type="dxa" w:w="5638"/>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規格の揃った付け爪。爪の個体差を排除するため</w:t>
            </w:r>
          </w:p>
        </w:tc>
        <w:tc>
          <w:tcPr>
            <w:tcW w:type="dxa" w:w="1400"/>
            <w:shd w:fill="F2F4F8" w:color="auto" w:val="clear"/>
            <w:tcMar>
              <w:top w:type="dxa" w:w="80"/>
              <w:left w:type="dxa" w:w="120"/>
              <w:bottom w:type="dxa" w:w="80"/>
              <w:right w:type="dxa" w:w="120"/>
            </w:tcMar>
          </w:tcPr>
          <w:p>
            <w:pPr>
              <w:spacing w:after="0" w:line="260"/>
              <w:jc w:val="center"/>
            </w:pPr>
            <w:r>
              <w:rPr>
                <w:rFonts w:ascii="Meiryo" w:cs="Meiryo" w:eastAsia="Meiryo" w:hAnsi="Meiryo"/>
                <w:color w:val="1F2430"/>
                <w:sz w:val="20"/>
                <w:szCs w:val="20"/>
              </w:rPr>
              <w:t xml:space="preserve">各条件 10枚</w:t>
            </w:r>
          </w:p>
        </w:tc>
      </w:tr>
      <w:tr>
        <w:tc>
          <w:tcPr>
            <w:tcW w:type="dxa" w:w="26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UVライト</w:t>
            </w:r>
          </w:p>
        </w:tc>
        <w:tc>
          <w:tcPr>
            <w:tcW w:type="dxa" w:w="56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硬化用</w:t>
            </w:r>
          </w:p>
        </w:tc>
        <w:tc>
          <w:tcPr>
            <w:tcW w:type="dxa" w:w="1400"/>
            <w:tcMar>
              <w:top w:type="dxa" w:w="80"/>
              <w:left w:type="dxa" w:w="120"/>
              <w:bottom w:type="dxa" w:w="80"/>
              <w:right w:type="dxa" w:w="120"/>
            </w:tcMar>
          </w:tcPr>
          <w:p>
            <w:pPr>
              <w:spacing w:after="0" w:line="260"/>
              <w:jc w:val="center"/>
            </w:pPr>
            <w:r>
              <w:rPr>
                <w:rFonts w:ascii="Meiryo" w:cs="Meiryo" w:eastAsia="Meiryo" w:hAnsi="Meiryo"/>
                <w:color w:val="1F2430"/>
                <w:sz w:val="20"/>
                <w:szCs w:val="20"/>
              </w:rPr>
              <w:t xml:space="preserve">1</w:t>
            </w:r>
          </w:p>
        </w:tc>
      </w:tr>
      <w:tr>
        <w:tc>
          <w:tcPr>
            <w:tcW w:type="dxa" w:w="26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ネオジム磁石</w:t>
            </w:r>
          </w:p>
        </w:tc>
        <w:tc>
          <w:tcPr>
            <w:tcW w:type="dxa" w:w="5638"/>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模様付け用。検査室には持ち込まない</w:t>
            </w:r>
          </w:p>
        </w:tc>
        <w:tc>
          <w:tcPr>
            <w:tcW w:type="dxa" w:w="1400"/>
            <w:shd w:fill="F2F4F8" w:color="auto" w:val="clear"/>
            <w:tcMar>
              <w:top w:type="dxa" w:w="80"/>
              <w:left w:type="dxa" w:w="120"/>
              <w:bottom w:type="dxa" w:w="80"/>
              <w:right w:type="dxa" w:w="120"/>
            </w:tcMar>
          </w:tcPr>
          <w:p>
            <w:pPr>
              <w:spacing w:after="0" w:line="260"/>
              <w:jc w:val="center"/>
            </w:pPr>
            <w:r>
              <w:rPr>
                <w:rFonts w:ascii="Meiryo" w:cs="Meiryo" w:eastAsia="Meiryo" w:hAnsi="Meiryo"/>
                <w:color w:val="1F2430"/>
                <w:sz w:val="20"/>
                <w:szCs w:val="20"/>
              </w:rPr>
              <w:t xml:space="preserve">1</w:t>
            </w:r>
          </w:p>
        </w:tc>
      </w:tr>
      <w:tr>
        <w:tc>
          <w:tcPr>
            <w:tcW w:type="dxa" w:w="26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精密秤</w:t>
            </w:r>
          </w:p>
        </w:tc>
        <w:tc>
          <w:tcPr>
            <w:tcW w:type="dxa" w:w="56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0.001 g 単位。塗布量の管理</w:t>
            </w:r>
          </w:p>
        </w:tc>
        <w:tc>
          <w:tcPr>
            <w:tcW w:type="dxa" w:w="1400"/>
            <w:tcMar>
              <w:top w:type="dxa" w:w="80"/>
              <w:left w:type="dxa" w:w="120"/>
              <w:bottom w:type="dxa" w:w="80"/>
              <w:right w:type="dxa" w:w="120"/>
            </w:tcMar>
          </w:tcPr>
          <w:p>
            <w:pPr>
              <w:spacing w:after="0" w:line="260"/>
              <w:jc w:val="center"/>
            </w:pPr>
            <w:r>
              <w:rPr>
                <w:rFonts w:ascii="Meiryo" w:cs="Meiryo" w:eastAsia="Meiryo" w:hAnsi="Meiryo"/>
                <w:color w:val="1F2430"/>
                <w:sz w:val="20"/>
                <w:szCs w:val="20"/>
              </w:rPr>
              <w:t xml:space="preserve">1</w:t>
            </w:r>
          </w:p>
        </w:tc>
      </w:tr>
    </w:tbl>
    <w:p>
      <w:pPr>
        <w:pStyle w:val="Heading2"/>
        <w:spacing w:after="120" w:before="220"/>
      </w:pPr>
      <w:r>
        <w:rPr>
          <w:rFonts w:ascii="Meiryo" w:cs="Meiryo" w:eastAsia="Meiryo" w:hAnsi="Meiryo"/>
          <w:b/>
          <w:bCs/>
          <w:color w:val="1B9AAA"/>
          <w:sz w:val="22"/>
          <w:szCs w:val="22"/>
        </w:rPr>
        <w:t xml:space="preserve">5.2　測定</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638"/>
        <w:gridCol w:w="1400"/>
      </w:tblGrid>
      <w:tr>
        <w:trPr>
          <w:tblHeader/>
        </w:trPr>
        <w:tc>
          <w:tcPr>
            <w:tcW w:type="dxa" w:w="2600"/>
            <w:shd w:fill="2E3A59" w:color="auto" w:val="clear"/>
            <w:tcMar>
              <w:top w:type="dxa" w:w="80"/>
              <w:left w:type="dxa" w:w="120"/>
              <w:bottom w:type="dxa" w:w="80"/>
              <w:right w:type="dxa" w:w="120"/>
            </w:tcMar>
          </w:tcPr>
          <w:p>
            <w:pPr>
              <w:spacing w:after="0" w:line="260"/>
              <w:jc w:val="center"/>
            </w:pPr>
            <w:r>
              <w:rPr>
                <w:rFonts w:ascii="Meiryo" w:cs="Meiryo" w:eastAsia="Meiryo" w:hAnsi="Meiryo"/>
                <w:b/>
                <w:bCs/>
                <w:color w:val="FFFFFF"/>
                <w:sz w:val="20"/>
                <w:szCs w:val="20"/>
              </w:rPr>
              <w:t xml:space="preserve">品目</w:t>
            </w:r>
          </w:p>
        </w:tc>
        <w:tc>
          <w:tcPr>
            <w:tcW w:type="dxa" w:w="5638"/>
            <w:shd w:fill="2E3A59" w:color="auto" w:val="clear"/>
            <w:tcMar>
              <w:top w:type="dxa" w:w="80"/>
              <w:left w:type="dxa" w:w="120"/>
              <w:bottom w:type="dxa" w:w="80"/>
              <w:right w:type="dxa" w:w="120"/>
            </w:tcMar>
          </w:tcPr>
          <w:p>
            <w:pPr>
              <w:spacing w:after="0" w:line="260"/>
              <w:jc w:val="center"/>
            </w:pPr>
            <w:r>
              <w:rPr>
                <w:rFonts w:ascii="Meiryo" w:cs="Meiryo" w:eastAsia="Meiryo" w:hAnsi="Meiryo"/>
                <w:b/>
                <w:bCs/>
                <w:color w:val="FFFFFF"/>
                <w:sz w:val="20"/>
                <w:szCs w:val="20"/>
              </w:rPr>
              <w:t xml:space="preserve">仕様・用途</w:t>
            </w:r>
          </w:p>
        </w:tc>
        <w:tc>
          <w:tcPr>
            <w:tcW w:type="dxa" w:w="1400"/>
            <w:shd w:fill="2E3A59" w:color="auto" w:val="clear"/>
            <w:tcMar>
              <w:top w:type="dxa" w:w="80"/>
              <w:left w:type="dxa" w:w="120"/>
              <w:bottom w:type="dxa" w:w="80"/>
              <w:right w:type="dxa" w:w="120"/>
            </w:tcMar>
          </w:tcPr>
          <w:p>
            <w:pPr>
              <w:spacing w:after="0" w:line="260"/>
              <w:jc w:val="center"/>
            </w:pPr>
            <w:r>
              <w:rPr>
                <w:rFonts w:ascii="Meiryo" w:cs="Meiryo" w:eastAsia="Meiryo" w:hAnsi="Meiryo"/>
                <w:b/>
                <w:bCs/>
                <w:color w:val="FFFFFF"/>
                <w:sz w:val="20"/>
                <w:szCs w:val="20"/>
              </w:rPr>
              <w:t xml:space="preserve">数量</w:t>
            </w:r>
          </w:p>
        </w:tc>
      </w:tr>
      <w:tr>
        <w:tc>
          <w:tcPr>
            <w:tcW w:type="dxa" w:w="26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非磁性吊り下げ治具</w:t>
            </w:r>
          </w:p>
        </w:tc>
        <w:tc>
          <w:tcPr>
            <w:tcW w:type="dxa" w:w="5638"/>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樹脂・木材製。釣り糸と分度器。手順Aで使用</w:t>
            </w:r>
          </w:p>
        </w:tc>
        <w:tc>
          <w:tcPr>
            <w:tcW w:type="dxa" w:w="1400"/>
            <w:shd w:fill="F2F4F8" w:color="auto" w:val="clear"/>
            <w:tcMar>
              <w:top w:type="dxa" w:w="80"/>
              <w:left w:type="dxa" w:w="120"/>
              <w:bottom w:type="dxa" w:w="80"/>
              <w:right w:type="dxa" w:w="120"/>
            </w:tcMar>
          </w:tcPr>
          <w:p>
            <w:pPr>
              <w:spacing w:after="0" w:line="260"/>
              <w:jc w:val="center"/>
            </w:pPr>
            <w:r>
              <w:rPr>
                <w:rFonts w:ascii="Meiryo" w:cs="Meiryo" w:eastAsia="Meiryo" w:hAnsi="Meiryo"/>
                <w:color w:val="1F2430"/>
                <w:sz w:val="20"/>
                <w:szCs w:val="20"/>
              </w:rPr>
              <w:t xml:space="preserve">1</w:t>
            </w:r>
          </w:p>
        </w:tc>
      </w:tr>
      <w:tr>
        <w:tc>
          <w:tcPr>
            <w:tcW w:type="dxa" w:w="26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ファントム</w:t>
            </w:r>
          </w:p>
        </w:tc>
        <w:tc>
          <w:tcPr>
            <w:tcW w:type="dxa" w:w="56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硫酸銅水溶液または寒天。手順Bで使用</w:t>
            </w:r>
          </w:p>
        </w:tc>
        <w:tc>
          <w:tcPr>
            <w:tcW w:type="dxa" w:w="1400"/>
            <w:tcMar>
              <w:top w:type="dxa" w:w="80"/>
              <w:left w:type="dxa" w:w="120"/>
              <w:bottom w:type="dxa" w:w="80"/>
              <w:right w:type="dxa" w:w="120"/>
            </w:tcMar>
          </w:tcPr>
          <w:p>
            <w:pPr>
              <w:spacing w:after="0" w:line="260"/>
              <w:jc w:val="center"/>
            </w:pPr>
            <w:r>
              <w:rPr>
                <w:rFonts w:ascii="Meiryo" w:cs="Meiryo" w:eastAsia="Meiryo" w:hAnsi="Meiryo"/>
                <w:color w:val="1F2430"/>
                <w:sz w:val="20"/>
                <w:szCs w:val="20"/>
              </w:rPr>
              <w:t xml:space="preserve">1</w:t>
            </w:r>
          </w:p>
        </w:tc>
      </w:tr>
      <w:tr>
        <w:tc>
          <w:tcPr>
            <w:tcW w:type="dxa" w:w="26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固定材</w:t>
            </w:r>
          </w:p>
        </w:tc>
        <w:tc>
          <w:tcPr>
            <w:tcW w:type="dxa" w:w="5638"/>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非磁性のテープ・面ファスナー。試料の固定用</w:t>
            </w:r>
          </w:p>
        </w:tc>
        <w:tc>
          <w:tcPr>
            <w:tcW w:type="dxa" w:w="1400"/>
            <w:shd w:fill="F2F4F8" w:color="auto" w:val="clear"/>
            <w:tcMar>
              <w:top w:type="dxa" w:w="80"/>
              <w:left w:type="dxa" w:w="120"/>
              <w:bottom w:type="dxa" w:w="80"/>
              <w:right w:type="dxa" w:w="120"/>
            </w:tcMar>
          </w:tcPr>
          <w:p>
            <w:pPr>
              <w:spacing w:after="0" w:line="260"/>
              <w:jc w:val="center"/>
            </w:pPr>
            <w:r>
              <w:rPr>
                <w:rFonts w:ascii="Meiryo" w:cs="Meiryo" w:eastAsia="Meiryo" w:hAnsi="Meiryo"/>
                <w:color w:val="1F2430"/>
                <w:sz w:val="20"/>
                <w:szCs w:val="20"/>
              </w:rPr>
              <w:t xml:space="preserve">適量</w:t>
            </w:r>
          </w:p>
        </w:tc>
      </w:tr>
      <w:tr>
        <w:tc>
          <w:tcPr>
            <w:tcW w:type="dxa" w:w="26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回収用の索</w:t>
            </w:r>
          </w:p>
        </w:tc>
        <w:tc>
          <w:tcPr>
            <w:tcW w:type="dxa" w:w="56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全試料に取り付ける</w:t>
            </w:r>
          </w:p>
        </w:tc>
        <w:tc>
          <w:tcPr>
            <w:tcW w:type="dxa" w:w="1400"/>
            <w:tcMar>
              <w:top w:type="dxa" w:w="80"/>
              <w:left w:type="dxa" w:w="120"/>
              <w:bottom w:type="dxa" w:w="80"/>
              <w:right w:type="dxa" w:w="120"/>
            </w:tcMar>
          </w:tcPr>
          <w:p>
            <w:pPr>
              <w:spacing w:after="0" w:line="260"/>
              <w:jc w:val="center"/>
            </w:pPr>
            <w:r>
              <w:rPr>
                <w:rFonts w:ascii="Meiryo" w:cs="Meiryo" w:eastAsia="Meiryo" w:hAnsi="Meiryo"/>
                <w:color w:val="1F2430"/>
                <w:sz w:val="20"/>
                <w:szCs w:val="20"/>
              </w:rPr>
              <w:t xml:space="preserve">試料数分</w:t>
            </w:r>
          </w:p>
        </w:tc>
      </w:tr>
      <w:tr>
        <w:tc>
          <w:tcPr>
            <w:tcW w:type="dxa" w:w="26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不可逆性示温ラベル</w:t>
            </w:r>
          </w:p>
        </w:tc>
        <w:tc>
          <w:tcPr>
            <w:tcW w:type="dxa" w:w="5638"/>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40 / 45 / 50 / 55 / 60℃ の複数温度段</w:t>
            </w:r>
          </w:p>
        </w:tc>
        <w:tc>
          <w:tcPr>
            <w:tcW w:type="dxa" w:w="1400"/>
            <w:shd w:fill="F2F4F8" w:color="auto" w:val="clear"/>
            <w:tcMar>
              <w:top w:type="dxa" w:w="80"/>
              <w:left w:type="dxa" w:w="120"/>
              <w:bottom w:type="dxa" w:w="80"/>
              <w:right w:type="dxa" w:w="120"/>
            </w:tcMar>
          </w:tcPr>
          <w:p>
            <w:pPr>
              <w:spacing w:after="0" w:line="260"/>
              <w:jc w:val="center"/>
            </w:pPr>
            <w:r>
              <w:rPr>
                <w:rFonts w:ascii="Meiryo" w:cs="Meiryo" w:eastAsia="Meiryo" w:hAnsi="Meiryo"/>
                <w:color w:val="1F2430"/>
                <w:sz w:val="20"/>
                <w:szCs w:val="20"/>
              </w:rPr>
              <w:t xml:space="preserve">試料数分</w:t>
            </w:r>
          </w:p>
        </w:tc>
      </w:tr>
      <w:tr>
        <w:tc>
          <w:tcPr>
            <w:tcW w:type="dxa" w:w="26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角度測定</w:t>
            </w:r>
          </w:p>
        </w:tc>
        <w:tc>
          <w:tcPr>
            <w:tcW w:type="dxa" w:w="56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分度器、または傾斜角測定アプリを入れた端末</w:t>
            </w:r>
          </w:p>
        </w:tc>
        <w:tc>
          <w:tcPr>
            <w:tcW w:type="dxa" w:w="1400"/>
            <w:tcMar>
              <w:top w:type="dxa" w:w="80"/>
              <w:left w:type="dxa" w:w="120"/>
              <w:bottom w:type="dxa" w:w="80"/>
              <w:right w:type="dxa" w:w="120"/>
            </w:tcMar>
          </w:tcPr>
          <w:p>
            <w:pPr>
              <w:spacing w:after="0" w:line="260"/>
              <w:jc w:val="center"/>
            </w:pPr>
            <w:r>
              <w:rPr>
                <w:rFonts w:ascii="Meiryo" w:cs="Meiryo" w:eastAsia="Meiryo" w:hAnsi="Meiryo"/>
                <w:color w:val="1F2430"/>
                <w:sz w:val="20"/>
                <w:szCs w:val="20"/>
              </w:rPr>
              <w:t xml:space="preserve">1</w:t>
            </w:r>
          </w:p>
        </w:tc>
      </w:tr>
      <w:tr>
        <w:tc>
          <w:tcPr>
            <w:tcW w:type="dxa" w:w="26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ImageJ</w:t>
            </w:r>
          </w:p>
        </w:tc>
        <w:tc>
          <w:tcPr>
            <w:tcW w:type="dxa" w:w="5638"/>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画像解析用。PCにインストールしておく</w:t>
            </w:r>
          </w:p>
        </w:tc>
        <w:tc>
          <w:tcPr>
            <w:tcW w:type="dxa" w:w="1400"/>
            <w:shd w:fill="F2F4F8" w:color="auto" w:val="clear"/>
            <w:tcMar>
              <w:top w:type="dxa" w:w="80"/>
              <w:left w:type="dxa" w:w="120"/>
              <w:bottom w:type="dxa" w:w="80"/>
              <w:right w:type="dxa" w:w="120"/>
            </w:tcMar>
          </w:tcPr>
          <w:p>
            <w:pPr>
              <w:spacing w:after="0" w:line="260"/>
              <w:jc w:val="center"/>
            </w:pPr>
            <w:r>
              <w:rPr>
                <w:rFonts w:ascii="Meiryo" w:cs="Meiryo" w:eastAsia="Meiryo" w:hAnsi="Meiryo"/>
                <w:color w:val="1F2430"/>
                <w:sz w:val="20"/>
                <w:szCs w:val="20"/>
              </w:rPr>
              <w:t xml:space="preserve">1</w:t>
            </w:r>
          </w:p>
        </w:tc>
      </w:tr>
    </w:tbl>
    <w:p>
      <w:r>
        <w:br w:type="page"/>
      </w:r>
    </w:p>
    <w:p>
      <w:pPr>
        <w:pStyle w:val="Heading1"/>
        <w:spacing w:after="160" w:before="320"/>
      </w:pPr>
      <w:r>
        <w:rPr>
          <w:rFonts w:ascii="Meiryo" w:cs="Meiryo" w:eastAsia="Meiryo" w:hAnsi="Meiryo"/>
          <w:b/>
          <w:bCs/>
          <w:color w:val="0F1626"/>
          <w:sz w:val="26"/>
          <w:szCs w:val="26"/>
        </w:rPr>
        <w:t xml:space="preserve">6　事前準備</w:t>
      </w:r>
    </w:p>
    <w:p>
      <w:pPr>
        <w:pStyle w:val="Heading2"/>
        <w:spacing w:after="120" w:before="220"/>
      </w:pPr>
      <w:r>
        <w:rPr>
          <w:rFonts w:ascii="Meiryo" w:cs="Meiryo" w:eastAsia="Meiryo" w:hAnsi="Meiryo"/>
          <w:b/>
          <w:bCs/>
          <w:color w:val="1B9AAA"/>
          <w:sz w:val="22"/>
          <w:szCs w:val="22"/>
        </w:rPr>
        <w:t xml:space="preserve">6.1　試料の作製</w:t>
      </w:r>
    </w:p>
    <w:p>
      <w:pPr>
        <w:spacing w:after="100" w:before="0" w:line="280"/>
      </w:pPr>
      <w:r>
        <w:rPr>
          <w:rFonts w:ascii="Meiryo" w:cs="Meiryo" w:eastAsia="Meiryo" w:hAnsi="Meiryo"/>
          <w:b/>
          <w:bCs/>
          <w:color w:val="B5326A"/>
          <w:sz w:val="20"/>
          <w:szCs w:val="20"/>
        </w:rPr>
        <w:t xml:space="preserve">すべて検査室外で行う。</w:t>
      </w:r>
    </w:p>
    <w:p>
      <w:pPr>
        <w:pStyle w:val="ListParagraph"/>
        <w:numPr>
          <w:ilvl w:val="0"/>
          <w:numId w:val="2"/>
        </w:numPr>
        <w:spacing w:after="80" w:line="280"/>
      </w:pPr>
      <w:r>
        <w:rPr>
          <w:rFonts w:ascii="Meiryo" w:cs="Meiryo" w:eastAsia="Meiryo" w:hAnsi="Meiryo"/>
          <w:sz w:val="21"/>
          <w:szCs w:val="21"/>
        </w:rPr>
        <w:t xml:space="preserve">ネイルチップを秤に載せ、施術前の質量を 0.001 g 単位で記録する。</w:t>
      </w:r>
    </w:p>
    <w:p>
      <w:pPr>
        <w:pStyle w:val="ListParagraph"/>
        <w:numPr>
          <w:ilvl w:val="0"/>
          <w:numId w:val="2"/>
        </w:numPr>
        <w:spacing w:after="80" w:line="280"/>
      </w:pPr>
      <w:r>
        <w:rPr>
          <w:rFonts w:ascii="Meiryo" w:cs="Meiryo" w:eastAsia="Meiryo" w:hAnsi="Meiryo"/>
          <w:sz w:val="21"/>
          <w:szCs w:val="21"/>
        </w:rPr>
        <w:t xml:space="preserve">ジェルを塗布する。塗布量は条件間でそろえる。塗布後の質量との差を塗布量として記録する。</w:t>
      </w:r>
    </w:p>
    <w:p>
      <w:pPr>
        <w:pStyle w:val="ListParagraph"/>
        <w:numPr>
          <w:ilvl w:val="0"/>
          <w:numId w:val="2"/>
        </w:numPr>
        <w:spacing w:after="80" w:line="280"/>
      </w:pPr>
      <w:r>
        <w:rPr>
          <w:rFonts w:ascii="Meiryo" w:cs="Meiryo" w:eastAsia="Meiryo" w:hAnsi="Meiryo"/>
          <w:sz w:val="21"/>
          <w:szCs w:val="21"/>
        </w:rPr>
        <w:t xml:space="preserve">マグネットネイルの配列条件に従い、磁石を所定の向きで当てて磁性粉を整列させる（未配列の試料には磁石を当てない）。</w:t>
      </w:r>
    </w:p>
    <w:p>
      <w:pPr>
        <w:pStyle w:val="ListParagraph"/>
        <w:numPr>
          <w:ilvl w:val="0"/>
          <w:numId w:val="2"/>
        </w:numPr>
        <w:spacing w:after="80" w:line="280"/>
      </w:pPr>
      <w:r>
        <w:rPr>
          <w:rFonts w:ascii="Meiryo" w:cs="Meiryo" w:eastAsia="Meiryo" w:hAnsi="Meiryo"/>
          <w:sz w:val="21"/>
          <w:szCs w:val="21"/>
        </w:rPr>
        <w:t xml:space="preserve">UVライトで硬化させる。硬化時間は製品の指示に従い、条件間でそろえる。</w:t>
      </w:r>
    </w:p>
    <w:p>
      <w:pPr>
        <w:pStyle w:val="ListParagraph"/>
        <w:numPr>
          <w:ilvl w:val="0"/>
          <w:numId w:val="2"/>
        </w:numPr>
        <w:spacing w:after="80" w:line="280"/>
      </w:pPr>
      <w:r>
        <w:rPr>
          <w:rFonts w:ascii="Meiryo" w:cs="Meiryo" w:eastAsia="Meiryo" w:hAnsi="Meiryo"/>
          <w:sz w:val="21"/>
          <w:szCs w:val="21"/>
        </w:rPr>
        <w:t xml:space="preserve">硬化後の質量を測定し、塗布量を確定する。</w:t>
      </w:r>
    </w:p>
    <w:p>
      <w:pPr>
        <w:pStyle w:val="ListParagraph"/>
        <w:numPr>
          <w:ilvl w:val="0"/>
          <w:numId w:val="2"/>
        </w:numPr>
        <w:spacing w:after="80" w:line="280"/>
      </w:pPr>
      <w:r>
        <w:rPr>
          <w:rFonts w:ascii="Meiryo" w:cs="Meiryo" w:eastAsia="Meiryo" w:hAnsi="Meiryo"/>
          <w:sz w:val="21"/>
          <w:szCs w:val="21"/>
        </w:rPr>
        <w:t xml:space="preserve">試料IDを油性ペンで裏面に記入し、回収用の索を取り付ける。</w:t>
      </w:r>
    </w:p>
    <w:p>
      <w:pPr>
        <w:pStyle w:val="ListParagraph"/>
        <w:numPr>
          <w:ilvl w:val="0"/>
          <w:numId w:val="2"/>
        </w:numPr>
        <w:spacing w:after="80" w:line="280"/>
      </w:pPr>
      <w:r>
        <w:rPr>
          <w:rFonts w:ascii="Meiryo" w:cs="Meiryo" w:eastAsia="Meiryo" w:hAnsi="Meiryo"/>
          <w:sz w:val="21"/>
          <w:szCs w:val="21"/>
        </w:rPr>
        <w:t xml:space="preserve">ワークブック「01_試料マスタ」に、試料ID・製品記号・カテゴリ・色・ロット・施術日・磁石配列・塗布量を登録する。</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E6F3F5" w:color="auto" w:val="clear"/>
            <w:tcMar>
              <w:top w:type="dxa" w:w="140"/>
              <w:left w:type="dxa" w:w="180"/>
              <w:bottom w:type="dxa" w:w="140"/>
              <w:right w:type="dxa" w:w="180"/>
            </w:tcMar>
          </w:tcPr>
          <w:p>
            <w:pPr>
              <w:spacing w:after="80"/>
            </w:pPr>
            <w:r>
              <w:rPr>
                <w:rFonts w:ascii="Meiryo" w:cs="Meiryo" w:eastAsia="Meiryo" w:hAnsi="Meiryo"/>
                <w:b/>
                <w:bCs/>
                <w:color w:val="1B9AAA"/>
                <w:sz w:val="21"/>
                <w:szCs w:val="21"/>
              </w:rPr>
              <w:t xml:space="preserve">塗布量をそろえる理由</w:t>
            </w:r>
          </w:p>
          <w:p>
            <w:pPr>
              <w:spacing w:after="40" w:line="270"/>
            </w:pPr>
            <w:r>
              <w:rPr>
                <w:rFonts w:ascii="Meiryo" w:cs="Meiryo" w:eastAsia="Meiryo" w:hAnsi="Meiryo"/>
                <w:sz w:val="20"/>
                <w:szCs w:val="20"/>
              </w:rPr>
              <w:t xml:space="preserve">アーチファクトの大きさも吸引力も、含まれる磁性粉の量に依存する。塗布量がばらつくと、製品間の差なのか塗布量の差なのかが区別できなくなる。秤で管理し、実測値を必ず残すこと。</w:t>
            </w:r>
          </w:p>
        </w:tc>
      </w:tr>
    </w:tbl>
    <w:p>
      <w:pPr>
        <w:pStyle w:val="Heading2"/>
        <w:spacing w:after="120" w:before="220"/>
      </w:pPr>
      <w:r>
        <w:rPr>
          <w:rFonts w:ascii="Meiryo" w:cs="Meiryo" w:eastAsia="Meiryo" w:hAnsi="Meiryo"/>
          <w:b/>
          <w:bCs/>
          <w:color w:val="1B9AAA"/>
          <w:sz w:val="22"/>
          <w:szCs w:val="22"/>
        </w:rPr>
        <w:t xml:space="preserve">6.2　非磁性治具の準備</w:t>
      </w:r>
    </w:p>
    <w:p>
      <w:pPr>
        <w:spacing w:after="100" w:before="0" w:line="280"/>
      </w:pPr>
      <w:r>
        <w:rPr>
          <w:rFonts w:ascii="Meiryo" w:cs="Meiryo" w:eastAsia="Meiryo" w:hAnsi="Meiryo"/>
          <w:color w:val="1F2430"/>
          <w:sz w:val="21"/>
          <w:szCs w:val="21"/>
        </w:rPr>
        <w:t xml:space="preserve">手順Aで使用する吊り下げ治具を、樹脂・木材など非磁性材で製作する。金属のねじ・クリップを使わないこと。糸は釣り糸など軽量で伸びの少ないものを用いる。</w:t>
      </w:r>
    </w:p>
    <w:p>
      <w:pPr>
        <w:spacing w:after="100" w:before="0" w:line="280"/>
      </w:pPr>
      <w:r>
        <w:rPr>
          <w:rFonts w:ascii="Meiryo" w:cs="Meiryo" w:eastAsia="Meiryo" w:hAnsi="Meiryo"/>
          <w:b/>
          <w:bCs/>
          <w:color w:val="1F2430"/>
          <w:sz w:val="21"/>
          <w:szCs w:val="21"/>
        </w:rPr>
        <w:t xml:space="preserve">製作後、治具単体を静磁場に近づけ、治具自体が力を受けないことを確認する。治具が振れる場合は磁性材が混入しているため、作り直す。</w:t>
      </w:r>
    </w:p>
    <w:p>
      <w:pPr>
        <w:pStyle w:val="Heading2"/>
        <w:spacing w:after="120" w:before="220"/>
      </w:pPr>
      <w:r>
        <w:rPr>
          <w:rFonts w:ascii="Meiryo" w:cs="Meiryo" w:eastAsia="Meiryo" w:hAnsi="Meiryo"/>
          <w:b/>
          <w:bCs/>
          <w:color w:val="1B9AAA"/>
          <w:sz w:val="22"/>
          <w:szCs w:val="22"/>
        </w:rPr>
        <w:t xml:space="preserve">6.3　ファントムの準備</w:t>
      </w:r>
    </w:p>
    <w:p>
      <w:pPr>
        <w:spacing w:after="100" w:before="0" w:line="280"/>
      </w:pPr>
      <w:r>
        <w:rPr>
          <w:rFonts w:ascii="Meiryo" w:cs="Meiryo" w:eastAsia="Meiryo" w:hAnsi="Meiryo"/>
          <w:color w:val="1F2430"/>
          <w:sz w:val="21"/>
          <w:szCs w:val="21"/>
        </w:rPr>
        <w:t xml:space="preserve">硫酸銅水溶液または寒天でファントムを作製する。気泡が残ると信号欠損と紛らわしいため、静置して気泡を抜く。試料を規則的に配置できるよう、非磁性の固定材をあらかじめ用意する。</w:t>
      </w:r>
    </w:p>
    <w:p>
      <w:pPr>
        <w:pStyle w:val="Heading2"/>
        <w:spacing w:after="120" w:before="220"/>
      </w:pPr>
      <w:r>
        <w:rPr>
          <w:rFonts w:ascii="Meiryo" w:cs="Meiryo" w:eastAsia="Meiryo" w:hAnsi="Meiryo"/>
          <w:b/>
          <w:bCs/>
          <w:color w:val="1B9AAA"/>
          <w:sz w:val="22"/>
          <w:szCs w:val="22"/>
        </w:rPr>
        <w:t xml:space="preserve">6.4　空間磁場勾配マップの確認</w:t>
      </w:r>
    </w:p>
    <w:p>
      <w:pPr>
        <w:spacing w:after="100" w:before="0" w:line="280"/>
      </w:pPr>
      <w:r>
        <w:rPr>
          <w:rFonts w:ascii="Meiryo" w:cs="Meiryo" w:eastAsia="Meiryo" w:hAnsi="Meiryo"/>
          <w:color w:val="1F2430"/>
          <w:sz w:val="21"/>
          <w:szCs w:val="21"/>
        </w:rPr>
        <w:t xml:space="preserve">装置ごとに、メーカーの空間磁場勾配マップから ∂B/∂z が最大となる位置を特定し、記録する。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E6F3F5" w:color="auto" w:val="clear"/>
            <w:tcMar>
              <w:top w:type="dxa" w:w="140"/>
              <w:left w:type="dxa" w:w="180"/>
              <w:bottom w:type="dxa" w:w="140"/>
              <w:right w:type="dxa" w:w="180"/>
            </w:tcMar>
          </w:tcPr>
          <w:p>
            <w:pPr>
              <w:spacing w:after="80"/>
            </w:pPr>
            <w:r>
              <w:rPr>
                <w:rFonts w:ascii="Meiryo" w:cs="Meiryo" w:eastAsia="Meiryo" w:hAnsi="Meiryo"/>
                <w:b/>
                <w:bCs/>
                <w:color w:val="1B9AAA"/>
                <w:sz w:val="21"/>
                <w:szCs w:val="21"/>
              </w:rPr>
              <w:t xml:space="preserve">ガウスラインマップと取り違えないこと</w:t>
            </w:r>
          </w:p>
          <w:p>
            <w:pPr>
              <w:spacing w:after="40" w:line="270"/>
            </w:pPr>
            <w:r>
              <w:rPr>
                <w:rFonts w:ascii="Meiryo" w:cs="Meiryo" w:eastAsia="Meiryo" w:hAnsi="Meiryo"/>
                <w:sz w:val="20"/>
                <w:szCs w:val="20"/>
              </w:rPr>
              <w:t xml:space="preserve">吸引力を決めるのは磁場強度 B ではなく B・(∂B/∂z) である。ガウスラインマップ（磁場強度の等高線）ではなく、空間磁場勾配マップを参照する。</w:t>
            </w:r>
          </w:p>
          <w:p>
            <w:pPr>
              <w:spacing w:after="40" w:line="270"/>
            </w:pPr>
            <w:r>
              <w:rPr>
                <w:rFonts w:ascii="Meiryo" w:cs="Meiryo" w:eastAsia="Meiryo" w:hAnsi="Meiryo"/>
                <w:sz w:val="20"/>
                <w:szCs w:val="20"/>
              </w:rPr>
              <w:t xml:space="preserve">最大勾配位置は多くの装置でボア入口付近の体軸上にあるが、機種差がある。マップ上の位置を、試験片を吊るして振れが最大になる点を探る方法で実測確認し、その結果も記録する。</w:t>
            </w:r>
          </w:p>
        </w:tc>
      </w:tr>
    </w:tbl>
    <w:p>
      <w:r>
        <w:br w:type="page"/>
      </w:r>
    </w:p>
    <w:p>
      <w:pPr>
        <w:pStyle w:val="Heading1"/>
        <w:spacing w:after="160" w:before="320"/>
      </w:pPr>
      <w:r>
        <w:rPr>
          <w:rFonts w:ascii="Meiryo" w:cs="Meiryo" w:eastAsia="Meiryo" w:hAnsi="Meiryo"/>
          <w:b/>
          <w:bCs/>
          <w:color w:val="0F1626"/>
          <w:sz w:val="26"/>
          <w:szCs w:val="26"/>
        </w:rPr>
        <w:t xml:space="preserve">7　手順A：磁気吸引力の測定（ASTM F2052 準拠）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目的</w:t>
            </w:r>
          </w:p>
        </w:tc>
        <w:tc>
          <w:tcPr>
            <w:tcW w:type="dxa" w:w="78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試料が静磁場から受ける磁気力を偏向角として定量し、規格の許容基準と照合する</w:t>
            </w:r>
          </w:p>
        </w:tc>
      </w:tr>
      <w:tr>
        <w:tc>
          <w:tcPr>
            <w:tcW w:type="dxa" w:w="18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装置</w:t>
            </w:r>
          </w:p>
        </w:tc>
        <w:tc>
          <w:tcPr>
            <w:tcW w:type="dxa" w:w="78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1.5T および 3T</w:t>
            </w:r>
          </w:p>
        </w:tc>
      </w:tr>
      <w:tr>
        <w:tc>
          <w:tcPr>
            <w:tcW w:type="dxa" w:w="18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試料数</w:t>
            </w:r>
          </w:p>
        </w:tc>
        <w:tc>
          <w:tcPr>
            <w:tcW w:type="dxa" w:w="78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各試料 × 各装置 で n = 10</w:t>
            </w:r>
          </w:p>
        </w:tc>
      </w:tr>
      <w:tr>
        <w:tc>
          <w:tcPr>
            <w:tcW w:type="dxa" w:w="18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所要時間</w:t>
            </w:r>
          </w:p>
        </w:tc>
        <w:tc>
          <w:tcPr>
            <w:tcW w:type="dxa" w:w="78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1装置あたり 2〜3 時間（試料数による）</w:t>
            </w:r>
          </w:p>
        </w:tc>
      </w:tr>
      <w:tr>
        <w:tc>
          <w:tcPr>
            <w:tcW w:type="dxa" w:w="18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記録先</w:t>
            </w:r>
          </w:p>
        </w:tc>
        <w:tc>
          <w:tcPr>
            <w:tcW w:type="dxa" w:w="78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ワークブック「02_偏向角_記録」</w:t>
            </w:r>
          </w:p>
        </w:tc>
      </w:tr>
    </w:tbl>
    <w:p>
      <w:pPr>
        <w:spacing w:after="120"/>
      </w:pPr>
    </w:p>
    <w:p>
      <w:pPr>
        <w:pStyle w:val="Heading2"/>
        <w:spacing w:after="120" w:before="220"/>
      </w:pPr>
      <w:r>
        <w:rPr>
          <w:rFonts w:ascii="Meiryo" w:cs="Meiryo" w:eastAsia="Meiryo" w:hAnsi="Meiryo"/>
          <w:b/>
          <w:bCs/>
          <w:color w:val="1B9AAA"/>
          <w:sz w:val="22"/>
          <w:szCs w:val="22"/>
        </w:rPr>
        <w:t xml:space="preserve">7.1　手順</w:t>
      </w:r>
    </w:p>
    <w:p>
      <w:pPr>
        <w:pStyle w:val="ListParagraph"/>
        <w:numPr>
          <w:ilvl w:val="0"/>
          <w:numId w:val="3"/>
        </w:numPr>
        <w:spacing w:after="80" w:line="280"/>
      </w:pPr>
      <w:r>
        <w:rPr>
          <w:rFonts w:ascii="Meiryo" w:cs="Meiryo" w:eastAsia="Meiryo" w:hAnsi="Meiryo"/>
          <w:sz w:val="21"/>
          <w:szCs w:val="21"/>
        </w:rPr>
        <w:t xml:space="preserve">検査室に入る前に、第3章の遵守事項と第15章の中止基準を全員で読み合わせる。安全チェックリスト（11_安全チェックリスト）の実施前項目を確認し、記入する。</w:t>
      </w:r>
    </w:p>
    <w:p>
      <w:pPr>
        <w:pStyle w:val="ListParagraph"/>
        <w:numPr>
          <w:ilvl w:val="0"/>
          <w:numId w:val="3"/>
        </w:numPr>
        <w:spacing w:after="80" w:line="280"/>
      </w:pPr>
      <w:r>
        <w:rPr>
          <w:rFonts w:ascii="Meiryo" w:cs="Meiryo" w:eastAsia="Meiryo" w:hAnsi="Meiryo"/>
          <w:sz w:val="21"/>
          <w:szCs w:val="21"/>
        </w:rPr>
        <w:t xml:space="preserve">持ち込む試料と治具の点数を数え、記録する。</w:t>
      </w:r>
    </w:p>
    <w:p>
      <w:pPr>
        <w:pStyle w:val="ListParagraph"/>
        <w:numPr>
          <w:ilvl w:val="0"/>
          <w:numId w:val="3"/>
        </w:numPr>
        <w:spacing w:after="80" w:line="280"/>
      </w:pPr>
      <w:r>
        <w:rPr>
          <w:rFonts w:ascii="Meiryo" w:cs="Meiryo" w:eastAsia="Meiryo" w:hAnsi="Meiryo"/>
          <w:sz w:val="21"/>
          <w:szCs w:val="21"/>
        </w:rPr>
        <w:t xml:space="preserve">治具を、6.4 で特定した最大空間磁場勾配位置に設置する。設置位置は毎回同一とし、床面にマーキングしておく。</w:t>
      </w:r>
    </w:p>
    <w:p>
      <w:pPr>
        <w:pStyle w:val="ListParagraph"/>
        <w:numPr>
          <w:ilvl w:val="0"/>
          <w:numId w:val="3"/>
        </w:numPr>
        <w:spacing w:after="80" w:line="280"/>
      </w:pPr>
      <w:r>
        <w:rPr>
          <w:rFonts w:ascii="Meiryo" w:cs="Meiryo" w:eastAsia="Meiryo" w:hAnsi="Meiryo"/>
          <w:sz w:val="21"/>
          <w:szCs w:val="21"/>
        </w:rPr>
        <w:t xml:space="preserve">試料を糸で吊るす。静止するまで待つ。</w:t>
      </w:r>
    </w:p>
    <w:p>
      <w:pPr>
        <w:pStyle w:val="ListParagraph"/>
        <w:numPr>
          <w:ilvl w:val="0"/>
          <w:numId w:val="3"/>
        </w:numPr>
        <w:spacing w:after="80" w:line="280"/>
      </w:pPr>
      <w:r>
        <w:rPr>
          <w:rFonts w:ascii="Meiryo" w:cs="Meiryo" w:eastAsia="Meiryo" w:hAnsi="Meiryo"/>
          <w:sz w:val="21"/>
          <w:szCs w:val="21"/>
        </w:rPr>
        <w:t xml:space="preserve">糸の傾き角 θ を測定し、0.5° 単位で読む。</w:t>
      </w:r>
    </w:p>
    <w:p>
      <w:pPr>
        <w:pStyle w:val="ListParagraph"/>
        <w:numPr>
          <w:ilvl w:val="0"/>
          <w:numId w:val="3"/>
        </w:numPr>
        <w:spacing w:after="80" w:line="280"/>
      </w:pPr>
      <w:r>
        <w:rPr>
          <w:rFonts w:ascii="Meiryo" w:cs="Meiryo" w:eastAsia="Meiryo" w:hAnsi="Meiryo"/>
          <w:sz w:val="21"/>
          <w:szCs w:val="21"/>
        </w:rPr>
        <w:t xml:space="preserve">試料を一度取り外し、再度取り付けてから測定する。これを 10 回繰り返す。取り外して付け直すことで、設置のばらつきを含めた再現性が評価できる。</w:t>
      </w:r>
    </w:p>
    <w:p>
      <w:pPr>
        <w:pStyle w:val="ListParagraph"/>
        <w:numPr>
          <w:ilvl w:val="0"/>
          <w:numId w:val="3"/>
        </w:numPr>
        <w:spacing w:after="80" w:line="280"/>
      </w:pPr>
      <w:r>
        <w:rPr>
          <w:rFonts w:ascii="Meiryo" w:cs="Meiryo" w:eastAsia="Meiryo" w:hAnsi="Meiryo"/>
          <w:sz w:val="21"/>
          <w:szCs w:val="21"/>
        </w:rPr>
        <w:t xml:space="preserve">測定ごとに、測定ID・測定日・装置・試料ID・反復No・質量・偏向角・測定者をワークブックに記録する。磁気力と45°判定は自動計算される。</w:t>
      </w:r>
    </w:p>
    <w:p>
      <w:pPr>
        <w:pStyle w:val="ListParagraph"/>
        <w:numPr>
          <w:ilvl w:val="0"/>
          <w:numId w:val="3"/>
        </w:numPr>
        <w:spacing w:after="80" w:line="280"/>
      </w:pPr>
      <w:r>
        <w:rPr>
          <w:rFonts w:ascii="Meiryo" w:cs="Meiryo" w:eastAsia="Meiryo" w:hAnsi="Meiryo"/>
          <w:sz w:val="21"/>
          <w:szCs w:val="21"/>
        </w:rPr>
        <w:t xml:space="preserve">全試料について 3〜7 を繰り返す。試料の測定順序は 13.1 に従って無作為化する。</w:t>
      </w:r>
    </w:p>
    <w:p>
      <w:pPr>
        <w:pStyle w:val="ListParagraph"/>
        <w:numPr>
          <w:ilvl w:val="0"/>
          <w:numId w:val="3"/>
        </w:numPr>
        <w:spacing w:after="80" w:line="280"/>
      </w:pPr>
      <w:r>
        <w:rPr>
          <w:rFonts w:ascii="Meiryo" w:cs="Meiryo" w:eastAsia="Meiryo" w:hAnsi="Meiryo"/>
          <w:sz w:val="21"/>
          <w:szCs w:val="21"/>
        </w:rPr>
        <w:t xml:space="preserve">トルク（ASTM F2213）は、試料を低摩擦の非磁性台に載せ、磁場中で回転するかを観察して定性的に評価し、備考欄に記録する。</w:t>
      </w:r>
    </w:p>
    <w:p>
      <w:pPr>
        <w:pStyle w:val="ListParagraph"/>
        <w:numPr>
          <w:ilvl w:val="0"/>
          <w:numId w:val="3"/>
        </w:numPr>
        <w:spacing w:after="80" w:line="280"/>
      </w:pPr>
      <w:r>
        <w:rPr>
          <w:rFonts w:ascii="Meiryo" w:cs="Meiryo" w:eastAsia="Meiryo" w:hAnsi="Meiryo"/>
          <w:sz w:val="21"/>
          <w:szCs w:val="21"/>
        </w:rPr>
        <w:t xml:space="preserve">終了後、試料を全数回収し、点数の一致を確認する。安全チェックリストの実施後項目を記入する。</w:t>
      </w:r>
    </w:p>
    <w:p>
      <w:pPr>
        <w:spacing w:after="60"/>
      </w:pPr>
    </w:p>
    <w:p>
      <w:pPr>
        <w:pStyle w:val="Heading2"/>
        <w:spacing w:after="120" w:before="220"/>
      </w:pPr>
      <w:r>
        <w:rPr>
          <w:rFonts w:ascii="Meiryo" w:cs="Meiryo" w:eastAsia="Meiryo" w:hAnsi="Meiryo"/>
          <w:b/>
          <w:bCs/>
          <w:color w:val="1B9AAA"/>
          <w:sz w:val="22"/>
          <w:szCs w:val="22"/>
        </w:rPr>
        <w:t xml:space="preserve">7.2　判定</w:t>
      </w:r>
    </w:p>
    <w:p>
      <w:pPr>
        <w:spacing w:after="100" w:before="0" w:line="280"/>
      </w:pPr>
      <w:r>
        <w:rPr>
          <w:rFonts w:ascii="Meiryo" w:cs="Meiryo" w:eastAsia="Meiryo" w:hAnsi="Meiryo"/>
          <w:b/>
          <w:bCs/>
          <w:color w:val="1F2430"/>
          <w:sz w:val="22"/>
          <w:szCs w:val="22"/>
        </w:rPr>
        <w:t xml:space="preserve">磁気力 F = m・g・tan θ</w:t>
      </w:r>
      <w:r>
        <w:rPr>
          <w:rFonts w:ascii="Meiryo" w:cs="Meiryo" w:eastAsia="Meiryo" w:hAnsi="Meiryo"/>
          <w:color w:val="6B7280"/>
          <w:sz w:val="19"/>
          <w:szCs w:val="19"/>
        </w:rPr>
        <w:t xml:space="preserve">　（m：試料質量、g：重力加速度、θ：偏向角）</w:t>
      </w:r>
    </w:p>
    <w:p>
      <w:pPr>
        <w:spacing w:after="100" w:before="0" w:line="280"/>
      </w:pPr>
      <w:r>
        <w:rPr>
          <w:rFonts w:ascii="Meiryo" w:cs="Meiryo" w:eastAsia="Meiryo" w:hAnsi="Meiryo"/>
          <w:color w:val="1F2430"/>
          <w:sz w:val="21"/>
          <w:szCs w:val="21"/>
        </w:rPr>
        <w:t xml:space="preserve">ASTM F2052 は θ &lt; 45°、すなわち磁気力が重力以下であることを一般に許容可能とする。この基準に照らして各試料を判定する。同一試料・同一装置で 45° 以上の測定が1件でもあれば「要確認」とし、その試料は追加で検討する。</w:t>
      </w:r>
    </w:p>
    <w:p>
      <w:r>
        <w:br w:type="page"/>
      </w:r>
    </w:p>
    <w:p>
      <w:pPr>
        <w:pStyle w:val="Heading1"/>
        <w:spacing w:after="160" w:before="320"/>
      </w:pPr>
      <w:r>
        <w:rPr>
          <w:rFonts w:ascii="Meiryo" w:cs="Meiryo" w:eastAsia="Meiryo" w:hAnsi="Meiryo"/>
          <w:b/>
          <w:bCs/>
          <w:color w:val="0F1626"/>
          <w:sz w:val="26"/>
          <w:szCs w:val="26"/>
        </w:rPr>
        <w:t xml:space="preserve">8　手順B：画像アーチファクトの測定（ASTM F2119 準拠）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目的</w:t>
            </w:r>
          </w:p>
        </w:tc>
        <w:tc>
          <w:tcPr>
            <w:tcW w:type="dxa" w:w="78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信号消失域の大きさを、磁場強度・シーケンス・TE・距離の関数として定量する</w:t>
            </w:r>
          </w:p>
        </w:tc>
      </w:tr>
      <w:tr>
        <w:tc>
          <w:tcPr>
            <w:tcW w:type="dxa" w:w="18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装置</w:t>
            </w:r>
          </w:p>
        </w:tc>
        <w:tc>
          <w:tcPr>
            <w:tcW w:type="dxa" w:w="78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1.5T および 3T</w:t>
            </w:r>
          </w:p>
        </w:tc>
      </w:tr>
      <w:tr>
        <w:tc>
          <w:tcPr>
            <w:tcW w:type="dxa" w:w="18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反復</w:t>
            </w:r>
          </w:p>
        </w:tc>
        <w:tc>
          <w:tcPr>
            <w:tcW w:type="dxa" w:w="78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各条件 n = 3 以上（主要条件は n = 5）</w:t>
            </w:r>
          </w:p>
        </w:tc>
      </w:tr>
      <w:tr>
        <w:tc>
          <w:tcPr>
            <w:tcW w:type="dxa" w:w="18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所要時間</w:t>
            </w:r>
          </w:p>
        </w:tc>
        <w:tc>
          <w:tcPr>
            <w:tcW w:type="dxa" w:w="78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1装置あたり 4〜6 時間。複数日に分けてよい</w:t>
            </w:r>
          </w:p>
        </w:tc>
      </w:tr>
      <w:tr>
        <w:tc>
          <w:tcPr>
            <w:tcW w:type="dxa" w:w="18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記録先</w:t>
            </w:r>
          </w:p>
        </w:tc>
        <w:tc>
          <w:tcPr>
            <w:tcW w:type="dxa" w:w="78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ワークブック「04_アーチファクト_記録」</w:t>
            </w:r>
          </w:p>
        </w:tc>
      </w:tr>
    </w:tbl>
    <w:p>
      <w:pPr>
        <w:spacing w:after="120"/>
      </w:pPr>
    </w:p>
    <w:p>
      <w:pPr>
        <w:pStyle w:val="Heading2"/>
        <w:spacing w:after="120" w:before="220"/>
      </w:pPr>
      <w:r>
        <w:rPr>
          <w:rFonts w:ascii="Meiryo" w:cs="Meiryo" w:eastAsia="Meiryo" w:hAnsi="Meiryo"/>
          <w:b/>
          <w:bCs/>
          <w:color w:val="1B9AAA"/>
          <w:sz w:val="22"/>
          <w:szCs w:val="22"/>
        </w:rPr>
        <w:t xml:space="preserve">8.1　撮影マトリクス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shd w:fill="2E3A59" w:color="auto" w:val="clear"/>
            <w:tcMar>
              <w:top w:type="dxa" w:w="80"/>
              <w:left w:type="dxa" w:w="120"/>
              <w:bottom w:type="dxa" w:w="80"/>
              <w:right w:type="dxa" w:w="120"/>
            </w:tcMar>
          </w:tcPr>
          <w:p>
            <w:pPr>
              <w:spacing w:after="0" w:line="260"/>
              <w:jc w:val="center"/>
            </w:pPr>
            <w:r>
              <w:rPr>
                <w:rFonts w:ascii="Meiryo" w:cs="Meiryo" w:eastAsia="Meiryo" w:hAnsi="Meiryo"/>
                <w:b/>
                <w:bCs/>
                <w:color w:val="FFFFFF"/>
                <w:sz w:val="20"/>
                <w:szCs w:val="20"/>
              </w:rPr>
              <w:t xml:space="preserve">因子</w:t>
            </w:r>
          </w:p>
        </w:tc>
        <w:tc>
          <w:tcPr>
            <w:tcW w:type="dxa" w:w="6638"/>
            <w:shd w:fill="2E3A59" w:color="auto" w:val="clear"/>
            <w:tcMar>
              <w:top w:type="dxa" w:w="80"/>
              <w:left w:type="dxa" w:w="120"/>
              <w:bottom w:type="dxa" w:w="80"/>
              <w:right w:type="dxa" w:w="120"/>
            </w:tcMar>
          </w:tcPr>
          <w:p>
            <w:pPr>
              <w:spacing w:after="0" w:line="260"/>
              <w:jc w:val="center"/>
            </w:pPr>
            <w:r>
              <w:rPr>
                <w:rFonts w:ascii="Meiryo" w:cs="Meiryo" w:eastAsia="Meiryo" w:hAnsi="Meiryo"/>
                <w:b/>
                <w:bCs/>
                <w:color w:val="FFFFFF"/>
                <w:sz w:val="20"/>
                <w:szCs w:val="20"/>
              </w:rPr>
              <w:t xml:space="preserve">水準</w:t>
            </w:r>
          </w:p>
        </w:tc>
      </w:tr>
      <w:tr>
        <w:tc>
          <w:tcPr>
            <w:tcW w:type="dxa" w:w="30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磁場強度</w:t>
            </w:r>
          </w:p>
        </w:tc>
        <w:tc>
          <w:tcPr>
            <w:tcW w:type="dxa" w:w="6638"/>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1.5T / 3T</w:t>
            </w:r>
          </w:p>
        </w:tc>
      </w:tr>
      <w:tr>
        <w:tc>
          <w:tcPr>
            <w:tcW w:type="dxa" w:w="30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シーケンス</w:t>
            </w:r>
          </w:p>
        </w:tc>
        <w:tc>
          <w:tcPr>
            <w:tcW w:type="dxa" w:w="66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SE / TSE / GRE / EPI / 脂肪抑制</w:t>
            </w:r>
          </w:p>
        </w:tc>
      </w:tr>
      <w:tr>
        <w:tc>
          <w:tcPr>
            <w:tcW w:type="dxa" w:w="30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TE</w:t>
            </w:r>
          </w:p>
        </w:tc>
        <w:tc>
          <w:tcPr>
            <w:tcW w:type="dxa" w:w="6638"/>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GRE で 5 段階（例：5・10・15・20・30 ms）</w:t>
            </w:r>
          </w:p>
        </w:tc>
      </w:tr>
      <w:tr>
        <w:tc>
          <w:tcPr>
            <w:tcW w:type="dxa" w:w="30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受信バンド幅</w:t>
            </w:r>
          </w:p>
        </w:tc>
        <w:tc>
          <w:tcPr>
            <w:tcW w:type="dxa" w:w="66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3 段階</w:t>
            </w:r>
          </w:p>
        </w:tc>
      </w:tr>
      <w:tr>
        <w:tc>
          <w:tcPr>
            <w:tcW w:type="dxa" w:w="30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周波数エンコード方向</w:t>
            </w:r>
          </w:p>
        </w:tc>
        <w:tc>
          <w:tcPr>
            <w:tcW w:type="dxa" w:w="6638"/>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2 方向</w:t>
            </w:r>
          </w:p>
        </w:tc>
      </w:tr>
      <w:tr>
        <w:tc>
          <w:tcPr>
            <w:tcW w:type="dxa" w:w="30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試料からの距離</w:t>
            </w:r>
          </w:p>
        </w:tc>
        <w:tc>
          <w:tcPr>
            <w:tcW w:type="dxa" w:w="66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0 / 2 / 5 / 10 / 20 cm</w:t>
            </w:r>
          </w:p>
        </w:tc>
      </w:tr>
      <w:tr>
        <w:tc>
          <w:tcPr>
            <w:tcW w:type="dxa" w:w="30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配置角度</w:t>
            </w:r>
          </w:p>
        </w:tc>
        <w:tc>
          <w:tcPr>
            <w:tcW w:type="dxa" w:w="6638"/>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0° / 45° / 90°（手順Dと共有）</w:t>
            </w:r>
          </w:p>
        </w:tc>
      </w:tr>
    </w:tbl>
    <w:p>
      <w:pPr>
        <w:spacing w:after="120"/>
      </w:pPr>
    </w:p>
    <w:p>
      <w:pPr>
        <w:pStyle w:val="Heading2"/>
        <w:spacing w:after="120" w:before="220"/>
      </w:pPr>
      <w:r>
        <w:rPr>
          <w:rFonts w:ascii="Meiryo" w:cs="Meiryo" w:eastAsia="Meiryo" w:hAnsi="Meiryo"/>
          <w:b/>
          <w:bCs/>
          <w:color w:val="1B9AAA"/>
          <w:sz w:val="22"/>
          <w:szCs w:val="22"/>
        </w:rPr>
        <w:t xml:space="preserve">8.2　手順</w:t>
      </w:r>
    </w:p>
    <w:p>
      <w:pPr>
        <w:pStyle w:val="ListParagraph"/>
        <w:numPr>
          <w:ilvl w:val="0"/>
          <w:numId w:val="4"/>
        </w:numPr>
        <w:spacing w:after="80" w:line="280"/>
      </w:pPr>
      <w:r>
        <w:rPr>
          <w:rFonts w:ascii="Meiryo" w:cs="Meiryo" w:eastAsia="Meiryo" w:hAnsi="Meiryo"/>
          <w:sz w:val="21"/>
          <w:szCs w:val="21"/>
        </w:rPr>
        <w:t xml:space="preserve">第3章の遵守事項を確認し、安全チェックリストの実施前項目を記入する。持ち込み点数を数える。</w:t>
      </w:r>
    </w:p>
    <w:p>
      <w:pPr>
        <w:pStyle w:val="ListParagraph"/>
        <w:numPr>
          <w:ilvl w:val="0"/>
          <w:numId w:val="4"/>
        </w:numPr>
        <w:spacing w:after="80" w:line="280"/>
      </w:pPr>
      <w:r>
        <w:rPr>
          <w:rFonts w:ascii="Meiryo" w:cs="Meiryo" w:eastAsia="Meiryo" w:hAnsi="Meiryo"/>
          <w:sz w:val="21"/>
          <w:szCs w:val="21"/>
        </w:rPr>
        <w:t xml:space="preserve">ファントムを寝台に設置する。位置は毎回同一とし、再現できるようマーキングする。</w:t>
      </w:r>
    </w:p>
    <w:p>
      <w:pPr>
        <w:pStyle w:val="ListParagraph"/>
        <w:numPr>
          <w:ilvl w:val="0"/>
          <w:numId w:val="4"/>
        </w:numPr>
        <w:spacing w:after="80" w:line="280"/>
      </w:pPr>
      <w:r>
        <w:rPr>
          <w:rFonts w:ascii="Meiryo" w:cs="Meiryo" w:eastAsia="Meiryo" w:hAnsi="Meiryo"/>
          <w:sz w:val="21"/>
          <w:szCs w:val="21"/>
        </w:rPr>
        <w:t xml:space="preserve">試料を装着しない状態で、使用するすべてのシーケンスについて参照画像を撮影する。参照画像はASTM F2119のアーチファクト判定の基準となるため、省略しない。</w:t>
      </w:r>
    </w:p>
    <w:p>
      <w:pPr>
        <w:pStyle w:val="ListParagraph"/>
        <w:numPr>
          <w:ilvl w:val="0"/>
          <w:numId w:val="4"/>
        </w:numPr>
        <w:spacing w:after="80" w:line="280"/>
      </w:pPr>
      <w:r>
        <w:rPr>
          <w:rFonts w:ascii="Meiryo" w:cs="Meiryo" w:eastAsia="Meiryo" w:hAnsi="Meiryo"/>
          <w:sz w:val="21"/>
          <w:szCs w:val="21"/>
        </w:rPr>
        <w:t xml:space="preserve">試料をファントム表面の所定位置に固定する。固定が緩いと撮影中に動き、測定値が無効になる。</w:t>
      </w:r>
    </w:p>
    <w:p>
      <w:pPr>
        <w:pStyle w:val="ListParagraph"/>
        <w:numPr>
          <w:ilvl w:val="0"/>
          <w:numId w:val="4"/>
        </w:numPr>
        <w:spacing w:after="80" w:line="280"/>
      </w:pPr>
      <w:r>
        <w:rPr>
          <w:rFonts w:ascii="Meiryo" w:cs="Meiryo" w:eastAsia="Meiryo" w:hAnsi="Meiryo"/>
          <w:sz w:val="21"/>
          <w:szCs w:val="21"/>
        </w:rPr>
        <w:t xml:space="preserve">撮影マトリクスに従って撮影する。1条件ごとに、撮影条件をすべてワークブックに記録する。</w:t>
      </w:r>
    </w:p>
    <w:p>
      <w:pPr>
        <w:pStyle w:val="ListParagraph"/>
        <w:numPr>
          <w:ilvl w:val="0"/>
          <w:numId w:val="4"/>
        </w:numPr>
        <w:spacing w:after="80" w:line="280"/>
      </w:pPr>
      <w:r>
        <w:rPr>
          <w:rFonts w:ascii="Meiryo" w:cs="Meiryo" w:eastAsia="Meiryo" w:hAnsi="Meiryo"/>
          <w:sz w:val="21"/>
          <w:szCs w:val="21"/>
        </w:rPr>
        <w:t xml:space="preserve">距離を変える条件では、試料の位置のみを変え、ファントムと寝台の位置は動かさない。</w:t>
      </w:r>
    </w:p>
    <w:p>
      <w:pPr>
        <w:pStyle w:val="ListParagraph"/>
        <w:numPr>
          <w:ilvl w:val="0"/>
          <w:numId w:val="4"/>
        </w:numPr>
        <w:spacing w:after="80" w:line="280"/>
      </w:pPr>
      <w:r>
        <w:rPr>
          <w:rFonts w:ascii="Meiryo" w:cs="Meiryo" w:eastAsia="Meiryo" w:hAnsi="Meiryo"/>
          <w:sz w:val="21"/>
          <w:szCs w:val="21"/>
        </w:rPr>
        <w:t xml:space="preserve">各撮影の直後に、試料の位置がずれていないことを目視で確認する。ずれていた場合はその条件を再撮影し、備考にその旨を記録する。</w:t>
      </w:r>
    </w:p>
    <w:p>
      <w:pPr>
        <w:pStyle w:val="ListParagraph"/>
        <w:numPr>
          <w:ilvl w:val="0"/>
          <w:numId w:val="4"/>
        </w:numPr>
        <w:spacing w:after="80" w:line="280"/>
      </w:pPr>
      <w:r>
        <w:rPr>
          <w:rFonts w:ascii="Meiryo" w:cs="Meiryo" w:eastAsia="Meiryo" w:hAnsi="Meiryo"/>
          <w:sz w:val="21"/>
          <w:szCs w:val="21"/>
        </w:rPr>
        <w:t xml:space="preserve">全条件の撮影終了後、試料を全数回収し、点数の一致を確認する。安全チェックリストの実施後項目を記入する。</w:t>
      </w:r>
    </w:p>
    <w:p>
      <w:pPr>
        <w:spacing w:after="120"/>
      </w:pPr>
    </w:p>
    <w:p>
      <w:pPr>
        <w:pStyle w:val="Heading2"/>
        <w:spacing w:after="120" w:before="220"/>
      </w:pPr>
      <w:r>
        <w:rPr>
          <w:rFonts w:ascii="Meiryo" w:cs="Meiryo" w:eastAsia="Meiryo" w:hAnsi="Meiryo"/>
          <w:b/>
          <w:bCs/>
          <w:color w:val="1B9AAA"/>
          <w:sz w:val="22"/>
          <w:szCs w:val="22"/>
        </w:rPr>
        <w:t xml:space="preserve">8.3　画像の計測</w:t>
      </w:r>
    </w:p>
    <w:p>
      <w:pPr>
        <w:spacing w:after="100" w:before="0" w:line="280"/>
      </w:pPr>
      <w:r>
        <w:rPr>
          <w:rFonts w:ascii="Meiryo" w:cs="Meiryo" w:eastAsia="Meiryo" w:hAnsi="Meiryo"/>
          <w:color w:val="1F2430"/>
          <w:sz w:val="21"/>
          <w:szCs w:val="21"/>
        </w:rPr>
        <w:t xml:space="preserve">計測は検査室外で、撮影とは別の日に行ってよい。</w:t>
      </w:r>
    </w:p>
    <w:p>
      <w:pPr>
        <w:spacing w:after="60" w:before="0" w:line="280"/>
      </w:pPr>
      <w:r>
        <w:rPr>
          <w:rFonts w:ascii="Meiryo" w:cs="Meiryo" w:eastAsia="Meiryo" w:hAnsi="Meiryo"/>
          <w:color w:val="1F2430"/>
          <w:sz w:val="21"/>
          <w:szCs w:val="21"/>
        </w:rPr>
        <w:t xml:space="preserve">ASTM F2119 の定義に従い、参照画像との画素値の差が 30% を超える領域をアーチファクトとする。ImageJ で閾値処理を行い、面積（mm²）と最大径（mm）を計測してワークブックに記録する。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E6F3F5" w:color="auto" w:val="clear"/>
            <w:tcMar>
              <w:top w:type="dxa" w:w="140"/>
              <w:left w:type="dxa" w:w="180"/>
              <w:bottom w:type="dxa" w:w="140"/>
              <w:right w:type="dxa" w:w="180"/>
            </w:tcMar>
          </w:tcPr>
          <w:p>
            <w:pPr>
              <w:spacing w:after="80"/>
            </w:pPr>
            <w:r>
              <w:rPr>
                <w:rFonts w:ascii="Meiryo" w:cs="Meiryo" w:eastAsia="Meiryo" w:hAnsi="Meiryo"/>
                <w:b/>
                <w:bCs/>
                <w:color w:val="1B9AAA"/>
                <w:sz w:val="21"/>
                <w:szCs w:val="21"/>
              </w:rPr>
              <w:t xml:space="preserve">計測の客観性を確保する</w:t>
            </w:r>
          </w:p>
          <w:p>
            <w:pPr>
              <w:spacing w:after="40" w:line="270"/>
            </w:pPr>
            <w:r>
              <w:rPr>
                <w:rFonts w:ascii="Meiryo" w:cs="Meiryo" w:eastAsia="Meiryo" w:hAnsi="Meiryo"/>
                <w:sz w:val="20"/>
                <w:szCs w:val="20"/>
              </w:rPr>
              <w:t xml:space="preserve">計測者には撮影条件（装置・シーケンス・試料）を伏せた状態で計測させる。ファイル名を無作為な記号に置き換えてから渡すとよい。</w:t>
            </w:r>
          </w:p>
          <w:p>
            <w:pPr>
              <w:spacing w:after="40" w:line="270"/>
            </w:pPr>
            <w:r>
              <w:rPr>
                <w:rFonts w:ascii="Meiryo" w:cs="Meiryo" w:eastAsia="Meiryo" w:hAnsi="Meiryo"/>
                <w:sz w:val="20"/>
                <w:szCs w:val="20"/>
              </w:rPr>
              <w:t xml:space="preserve">主要な条件については2名が独立に計測し、値の一致度を確認する。大きく食い違う条件は、閾値処理の手順を見直す。</w:t>
            </w:r>
          </w:p>
          <w:p>
            <w:pPr>
              <w:spacing w:after="40" w:line="270"/>
            </w:pPr>
            <w:r>
              <w:rPr>
                <w:rFonts w:ascii="Meiryo" w:cs="Meiryo" w:eastAsia="Meiryo" w:hAnsi="Meiryo"/>
                <w:sz w:val="20"/>
                <w:szCs w:val="20"/>
              </w:rPr>
              <w:t xml:space="preserve">閾値処理の手順（前処理・閾値の決め方・面積の取り方）を文書化し、全画像で同一の手順を適用する。途中で手順を変えない。</w:t>
            </w:r>
          </w:p>
        </w:tc>
      </w:tr>
    </w:tbl>
    <w:p>
      <w:r>
        <w:br w:type="page"/>
      </w:r>
    </w:p>
    <w:p>
      <w:pPr>
        <w:pStyle w:val="Heading1"/>
        <w:spacing w:after="160" w:before="320"/>
      </w:pPr>
      <w:r>
        <w:rPr>
          <w:rFonts w:ascii="Meiryo" w:cs="Meiryo" w:eastAsia="Meiryo" w:hAnsi="Meiryo"/>
          <w:b/>
          <w:bCs/>
          <w:color w:val="0F1626"/>
          <w:sz w:val="26"/>
          <w:szCs w:val="26"/>
        </w:rPr>
        <w:t xml:space="preserve">9　手順C：発熱の評価（示温ラベル法）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目的</w:t>
            </w:r>
          </w:p>
        </w:tc>
        <w:tc>
          <w:tcPr>
            <w:tcW w:type="dxa" w:w="78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高SAR条件での最高到達温度を記録し、熱傷リスクの有無を評価する</w:t>
            </w:r>
          </w:p>
        </w:tc>
      </w:tr>
      <w:tr>
        <w:tc>
          <w:tcPr>
            <w:tcW w:type="dxa" w:w="18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装置</w:t>
            </w:r>
          </w:p>
        </w:tc>
        <w:tc>
          <w:tcPr>
            <w:tcW w:type="dxa" w:w="78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1.5T および 3T</w:t>
            </w:r>
          </w:p>
        </w:tc>
      </w:tr>
      <w:tr>
        <w:tc>
          <w:tcPr>
            <w:tcW w:type="dxa" w:w="18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反復</w:t>
            </w:r>
          </w:p>
        </w:tc>
        <w:tc>
          <w:tcPr>
            <w:tcW w:type="dxa" w:w="78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各条件 n = 10</w:t>
            </w:r>
          </w:p>
        </w:tc>
      </w:tr>
      <w:tr>
        <w:tc>
          <w:tcPr>
            <w:tcW w:type="dxa" w:w="18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所要時間</w:t>
            </w:r>
          </w:p>
        </w:tc>
        <w:tc>
          <w:tcPr>
            <w:tcW w:type="dxa" w:w="78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1条件あたり 30〜40 分</w:t>
            </w:r>
          </w:p>
        </w:tc>
      </w:tr>
      <w:tr>
        <w:tc>
          <w:tcPr>
            <w:tcW w:type="dxa" w:w="18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記録先</w:t>
            </w:r>
          </w:p>
        </w:tc>
        <w:tc>
          <w:tcPr>
            <w:tcW w:type="dxa" w:w="78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ワークブック「06_発熱_記録」</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BE3E6" w:color="auto" w:val="clear"/>
            <w:tcMar>
              <w:top w:type="dxa" w:w="140"/>
              <w:left w:type="dxa" w:w="180"/>
              <w:bottom w:type="dxa" w:w="140"/>
              <w:right w:type="dxa" w:w="180"/>
            </w:tcMar>
          </w:tcPr>
          <w:p>
            <w:pPr>
              <w:spacing w:after="80"/>
            </w:pPr>
            <w:r>
              <w:rPr>
                <w:rFonts w:ascii="Meiryo" w:cs="Meiryo" w:eastAsia="Meiryo" w:hAnsi="Meiryo"/>
                <w:b/>
                <w:bCs/>
                <w:color w:val="B5326A"/>
                <w:sz w:val="21"/>
                <w:szCs w:val="21"/>
              </w:rPr>
              <w:t xml:space="preserve">本手順は ASTM F2182 準拠ではない</w:t>
            </w:r>
          </w:p>
          <w:p>
            <w:pPr>
              <w:spacing w:after="40" w:line="270"/>
            </w:pPr>
            <w:r>
              <w:rPr>
                <w:rFonts w:ascii="Meiryo" w:cs="Meiryo" w:eastAsia="Meiryo" w:hAnsi="Meiryo"/>
                <w:sz w:val="20"/>
                <w:szCs w:val="20"/>
              </w:rPr>
              <w:t xml:space="preserve">MRI対応の光ファイバー温度計が使用できないため、規格準拠のRF発熱測定は実施できない。本手順は不可逆性示温ラベルによる最高到達温度の記録で代替するものであり、以下の限界を伴う。発表・論文では必ずこの限界を明記すること。</w:t>
            </w:r>
          </w:p>
          <w:p>
            <w:pPr>
              <w:spacing w:after="40" w:line="270"/>
            </w:pPr>
            <w:r>
              <w:rPr>
                <w:rFonts w:ascii="Meiryo" w:cs="Meiryo" w:eastAsia="Meiryo" w:hAnsi="Meiryo"/>
                <w:sz w:val="20"/>
                <w:szCs w:val="20"/>
              </w:rPr>
              <w:t xml:space="preserve">・温度の時間変化（上昇速度、定常値、時定数）は取得できない。</w:t>
            </w:r>
          </w:p>
          <w:p>
            <w:pPr>
              <w:spacing w:after="40" w:line="270"/>
            </w:pPr>
            <w:r>
              <w:rPr>
                <w:rFonts w:ascii="Meiryo" w:cs="Meiryo" w:eastAsia="Meiryo" w:hAnsi="Meiryo"/>
                <w:sz w:val="20"/>
                <w:szCs w:val="20"/>
              </w:rPr>
              <w:t xml:space="preserve">・ファントムは血流による冷却を再現していないため、生体より高温側に出る。すなわち安全側の評価となる。</w:t>
            </w:r>
          </w:p>
          <w:p>
            <w:pPr>
              <w:spacing w:after="40" w:line="270"/>
            </w:pPr>
            <w:r>
              <w:rPr>
                <w:rFonts w:ascii="Meiryo" w:cs="Meiryo" w:eastAsia="Meiryo" w:hAnsi="Meiryo"/>
                <w:sz w:val="20"/>
                <w:szCs w:val="20"/>
              </w:rPr>
              <w:t xml:space="preserve">・温度分解能は示温ラベルの温度段に制限される。</w:t>
            </w:r>
          </w:p>
        </w:tc>
      </w:tr>
    </w:tbl>
    <w:p>
      <w:pPr>
        <w:spacing w:after="120"/>
      </w:pPr>
    </w:p>
    <w:p>
      <w:pPr>
        <w:pStyle w:val="Heading2"/>
        <w:spacing w:after="120" w:before="220"/>
      </w:pPr>
      <w:r>
        <w:rPr>
          <w:rFonts w:ascii="Meiryo" w:cs="Meiryo" w:eastAsia="Meiryo" w:hAnsi="Meiryo"/>
          <w:b/>
          <w:bCs/>
          <w:color w:val="1B9AAA"/>
          <w:sz w:val="22"/>
          <w:szCs w:val="22"/>
        </w:rPr>
        <w:t xml:space="preserve">9.1　手順</w:t>
      </w:r>
    </w:p>
    <w:p>
      <w:pPr>
        <w:pStyle w:val="ListParagraph"/>
        <w:numPr>
          <w:ilvl w:val="0"/>
          <w:numId w:val="5"/>
        </w:numPr>
        <w:spacing w:after="80" w:line="280"/>
      </w:pPr>
      <w:r>
        <w:rPr>
          <w:rFonts w:ascii="Meiryo" w:cs="Meiryo" w:eastAsia="Meiryo" w:hAnsi="Meiryo"/>
          <w:sz w:val="21"/>
          <w:szCs w:val="21"/>
        </w:rPr>
        <w:t xml:space="preserve">試料に不可逆性示温ラベルを貼付する。40・45・50・55・60℃ の複数温度段をすべて貼る。</w:t>
      </w:r>
    </w:p>
    <w:p>
      <w:pPr>
        <w:pStyle w:val="ListParagraph"/>
        <w:numPr>
          <w:ilvl w:val="0"/>
          <w:numId w:val="5"/>
        </w:numPr>
        <w:spacing w:after="80" w:line="280"/>
      </w:pPr>
      <w:r>
        <w:rPr>
          <w:rFonts w:ascii="Meiryo" w:cs="Meiryo" w:eastAsia="Meiryo" w:hAnsi="Meiryo"/>
          <w:sz w:val="21"/>
          <w:szCs w:val="21"/>
        </w:rPr>
        <w:t xml:space="preserve">貼付直後の状態を写真に記録する（変色の有無の判定基準とする）。</w:t>
      </w:r>
    </w:p>
    <w:p>
      <w:pPr>
        <w:pStyle w:val="ListParagraph"/>
        <w:numPr>
          <w:ilvl w:val="0"/>
          <w:numId w:val="5"/>
        </w:numPr>
        <w:spacing w:after="80" w:line="280"/>
      </w:pPr>
      <w:r>
        <w:rPr>
          <w:rFonts w:ascii="Meiryo" w:cs="Meiryo" w:eastAsia="Meiryo" w:hAnsi="Meiryo"/>
          <w:sz w:val="21"/>
          <w:szCs w:val="21"/>
        </w:rPr>
        <w:t xml:space="preserve">試料をファントムに固定する。位置は手順Bと同一とする。</w:t>
      </w:r>
    </w:p>
    <w:p>
      <w:pPr>
        <w:pStyle w:val="ListParagraph"/>
        <w:numPr>
          <w:ilvl w:val="0"/>
          <w:numId w:val="5"/>
        </w:numPr>
        <w:spacing w:after="80" w:line="280"/>
      </w:pPr>
      <w:r>
        <w:rPr>
          <w:rFonts w:ascii="Meiryo" w:cs="Meiryo" w:eastAsia="Meiryo" w:hAnsi="Meiryo"/>
          <w:sz w:val="21"/>
          <w:szCs w:val="21"/>
        </w:rPr>
        <w:t xml:space="preserve">高SARシーケンス（TSE、大フリップ角、短TR）を選択し、SAR値を記録する。</w:t>
      </w:r>
    </w:p>
    <w:p>
      <w:pPr>
        <w:pStyle w:val="ListParagraph"/>
        <w:numPr>
          <w:ilvl w:val="0"/>
          <w:numId w:val="5"/>
        </w:numPr>
        <w:spacing w:after="80" w:line="280"/>
      </w:pPr>
      <w:r>
        <w:rPr>
          <w:rFonts w:ascii="Meiryo" w:cs="Meiryo" w:eastAsia="Meiryo" w:hAnsi="Meiryo"/>
          <w:sz w:val="21"/>
          <w:szCs w:val="21"/>
        </w:rPr>
        <w:t xml:space="preserve">30分間連続で撮像する。撮像中は操作室から試料の状態を監視する。</w:t>
      </w:r>
    </w:p>
    <w:p>
      <w:pPr>
        <w:pStyle w:val="ListParagraph"/>
        <w:numPr>
          <w:ilvl w:val="0"/>
          <w:numId w:val="5"/>
        </w:numPr>
        <w:spacing w:after="80" w:line="280"/>
      </w:pPr>
      <w:r>
        <w:rPr>
          <w:rFonts w:ascii="Meiryo" w:cs="Meiryo" w:eastAsia="Meiryo" w:hAnsi="Meiryo"/>
          <w:sz w:val="21"/>
          <w:szCs w:val="21"/>
        </w:rPr>
        <w:t xml:space="preserve">撮像終了後、速やかに試料を取り出し、各温度段のラベルの変色の有無を判定して記録する。ラベルは不可逆であるため、取り出しまでの時間は判定に影響しない。</w:t>
      </w:r>
    </w:p>
    <w:p>
      <w:pPr>
        <w:pStyle w:val="ListParagraph"/>
        <w:numPr>
          <w:ilvl w:val="0"/>
          <w:numId w:val="5"/>
        </w:numPr>
        <w:spacing w:after="80" w:line="280"/>
      </w:pPr>
      <w:r>
        <w:rPr>
          <w:rFonts w:ascii="Meiryo" w:cs="Meiryo" w:eastAsia="Meiryo" w:hAnsi="Meiryo"/>
          <w:sz w:val="21"/>
          <w:szCs w:val="21"/>
        </w:rPr>
        <w:t xml:space="preserve">補助として、取り出し直後に非接触赤外温度計で表面温度を測定し、備考欄に記録する。ただし遅延により過小評価となることを明記する。</w:t>
      </w:r>
    </w:p>
    <w:p>
      <w:pPr>
        <w:pStyle w:val="ListParagraph"/>
        <w:numPr>
          <w:ilvl w:val="0"/>
          <w:numId w:val="5"/>
        </w:numPr>
        <w:spacing w:after="80" w:line="280"/>
      </w:pPr>
      <w:r>
        <w:rPr>
          <w:rFonts w:ascii="Meiryo" w:cs="Meiryo" w:eastAsia="Meiryo" w:hAnsi="Meiryo"/>
          <w:sz w:val="21"/>
          <w:szCs w:val="21"/>
        </w:rPr>
        <w:t xml:space="preserve">対照として、試料を貼らないファントムでも同一条件を実施し、ラベルが変色しないことを確認する。</w:t>
      </w:r>
    </w:p>
    <w:p>
      <w:pPr>
        <w:spacing w:after="60"/>
      </w:pPr>
    </w:p>
    <w:p>
      <w:pPr>
        <w:spacing w:after="100" w:before="0" w:line="280"/>
      </w:pPr>
      <w:r>
        <w:rPr>
          <w:rFonts w:ascii="Meiryo" w:cs="Meiryo" w:eastAsia="Meiryo" w:hAnsi="Meiryo"/>
          <w:color w:val="6B7280"/>
          <w:sz w:val="20"/>
          <w:szCs w:val="20"/>
        </w:rPr>
        <w:t xml:space="preserve">推定最高到達温度はワークブックで自動判定される。40℃段階でも変色が見られない場合、それ自体が有用な陰性所見であり、無理に主軸に据える必要はない。</w:t>
      </w:r>
    </w:p>
    <w:p>
      <w:pPr>
        <w:pStyle w:val="Heading1"/>
        <w:spacing w:after="160" w:before="320"/>
      </w:pPr>
      <w:r>
        <w:rPr>
          <w:rFonts w:ascii="Meiryo" w:cs="Meiryo" w:eastAsia="Meiryo" w:hAnsi="Meiryo"/>
          <w:b/>
          <w:bCs/>
          <w:color w:val="0F1626"/>
          <w:sz w:val="26"/>
          <w:szCs w:val="26"/>
        </w:rPr>
        <w:t xml:space="preserve">10　手順D：磁性粉の配向異方性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目的</w:t>
            </w:r>
          </w:p>
        </w:tc>
        <w:tc>
          <w:tcPr>
            <w:tcW w:type="dxa" w:w="78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硬化時の磁性粉の整列方向が、吸引力とアーチファクトを変えるかを検証する</w:t>
            </w:r>
          </w:p>
        </w:tc>
      </w:tr>
      <w:tr>
        <w:tc>
          <w:tcPr>
            <w:tcW w:type="dxa" w:w="18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試料</w:t>
            </w:r>
          </w:p>
        </w:tc>
        <w:tc>
          <w:tcPr>
            <w:tcW w:type="dxa" w:w="78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同一製品・同一塗布量で、磁石の当て方のみを変えたもの</w:t>
            </w:r>
          </w:p>
        </w:tc>
      </w:tr>
      <w:tr>
        <w:tc>
          <w:tcPr>
            <w:tcW w:type="dxa" w:w="18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条件</w:t>
            </w:r>
          </w:p>
        </w:tc>
        <w:tc>
          <w:tcPr>
            <w:tcW w:type="dxa" w:w="78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配列：未配列 / 縦 / 横 / 斜め　×　静磁場に対する配置角度：0° / 45° / 90°</w:t>
            </w:r>
          </w:p>
        </w:tc>
      </w:tr>
      <w:tr>
        <w:tc>
          <w:tcPr>
            <w:tcW w:type="dxa" w:w="18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記録先</w:t>
            </w:r>
          </w:p>
        </w:tc>
        <w:tc>
          <w:tcPr>
            <w:tcW w:type="dxa" w:w="78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「02_偏向角_記録」および「04_アーチファクト_記録」の配置角度欄</w:t>
            </w:r>
          </w:p>
        </w:tc>
      </w:tr>
    </w:tbl>
    <w:p>
      <w:pPr>
        <w:spacing w:after="120"/>
      </w:pPr>
    </w:p>
    <w:p>
      <w:pPr>
        <w:pStyle w:val="ListParagraph"/>
        <w:numPr>
          <w:ilvl w:val="0"/>
          <w:numId w:val="6"/>
        </w:numPr>
        <w:spacing w:after="80" w:line="280"/>
      </w:pPr>
      <w:r>
        <w:rPr>
          <w:rFonts w:ascii="Meiryo" w:cs="Meiryo" w:eastAsia="Meiryo" w:hAnsi="Meiryo"/>
          <w:sz w:val="21"/>
          <w:szCs w:val="21"/>
        </w:rPr>
        <w:t xml:space="preserve">6.1 の手順で、磁石の当て方のみを変えた試料を作製する。塗布量は条件間で必ずそろえる。</w:t>
      </w:r>
    </w:p>
    <w:p>
      <w:pPr>
        <w:pStyle w:val="ListParagraph"/>
        <w:numPr>
          <w:ilvl w:val="0"/>
          <w:numId w:val="6"/>
        </w:numPr>
        <w:spacing w:after="80" w:line="280"/>
      </w:pPr>
      <w:r>
        <w:rPr>
          <w:rFonts w:ascii="Meiryo" w:cs="Meiryo" w:eastAsia="Meiryo" w:hAnsi="Meiryo"/>
          <w:sz w:val="21"/>
          <w:szCs w:val="21"/>
        </w:rPr>
        <w:t xml:space="preserve">手順Aと同一の方法で、配置角度 0°・45°・90° の各々について偏向角を測定する。</w:t>
      </w:r>
    </w:p>
    <w:p>
      <w:pPr>
        <w:pStyle w:val="ListParagraph"/>
        <w:numPr>
          <w:ilvl w:val="0"/>
          <w:numId w:val="6"/>
        </w:numPr>
        <w:spacing w:after="80" w:line="280"/>
      </w:pPr>
      <w:r>
        <w:rPr>
          <w:rFonts w:ascii="Meiryo" w:cs="Meiryo" w:eastAsia="Meiryo" w:hAnsi="Meiryo"/>
          <w:sz w:val="21"/>
          <w:szCs w:val="21"/>
        </w:rPr>
        <w:t xml:space="preserve">手順Bと同一の方法で、同じ3つの配置角度についてアーチファクトを撮影・計測する。</w:t>
      </w:r>
    </w:p>
    <w:p>
      <w:pPr>
        <w:pStyle w:val="ListParagraph"/>
        <w:numPr>
          <w:ilvl w:val="0"/>
          <w:numId w:val="6"/>
        </w:numPr>
        <w:spacing w:after="80" w:line="280"/>
      </w:pPr>
      <w:r>
        <w:rPr>
          <w:rFonts w:ascii="Meiryo" w:cs="Meiryo" w:eastAsia="Meiryo" w:hAnsi="Meiryo"/>
          <w:sz w:val="21"/>
          <w:szCs w:val="21"/>
        </w:rPr>
        <w:t xml:space="preserve">配列条件と配置角度の組み合わせごとに集計し、差の有無を検定する。</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E6F3F5" w:color="auto" w:val="clear"/>
            <w:tcMar>
              <w:top w:type="dxa" w:w="140"/>
              <w:left w:type="dxa" w:w="180"/>
              <w:bottom w:type="dxa" w:w="140"/>
              <w:right w:type="dxa" w:w="180"/>
            </w:tcMar>
          </w:tcPr>
          <w:p>
            <w:pPr>
              <w:spacing w:after="80"/>
            </w:pPr>
            <w:r>
              <w:rPr>
                <w:rFonts w:ascii="Meiryo" w:cs="Meiryo" w:eastAsia="Meiryo" w:hAnsi="Meiryo"/>
                <w:b/>
                <w:bCs/>
                <w:color w:val="1B9AAA"/>
                <w:sz w:val="21"/>
                <w:szCs w:val="21"/>
              </w:rPr>
              <w:t xml:space="preserve">差が出なくても報告価値がある</w:t>
            </w:r>
          </w:p>
          <w:p>
            <w:pPr>
              <w:spacing w:after="40" w:line="270"/>
            </w:pPr>
            <w:r>
              <w:rPr>
                <w:rFonts w:ascii="Meiryo" w:cs="Meiryo" w:eastAsia="Meiryo" w:hAnsi="Meiryo"/>
                <w:sz w:val="20"/>
                <w:szCs w:val="20"/>
              </w:rPr>
              <w:t xml:space="preserve">先行研究は磁性粉を含む化粧品としてしか扱っておらず、「粉が揃って固まっている」というマグネットネイル固有の条件を検討したものは見当たらない。有意差が出なければ「整列の向きは影響しない」という知見として報告できる。空振りを恐れて省略しないこと。</w:t>
            </w:r>
          </w:p>
        </w:tc>
      </w:tr>
    </w:tbl>
    <w:p>
      <w:r>
        <w:br w:type="page"/>
      </w:r>
    </w:p>
    <w:p>
      <w:pPr>
        <w:pStyle w:val="Heading1"/>
        <w:spacing w:after="160" w:before="320"/>
      </w:pPr>
      <w:r>
        <w:rPr>
          <w:rFonts w:ascii="Meiryo" w:cs="Meiryo" w:eastAsia="Meiryo" w:hAnsi="Meiryo"/>
          <w:b/>
          <w:bCs/>
          <w:color w:val="0F1626"/>
          <w:sz w:val="26"/>
          <w:szCs w:val="26"/>
        </w:rPr>
        <w:t xml:space="preserve">11　手順E-1：延期症例の後ろ向き調査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目的</w:t>
            </w:r>
          </w:p>
        </w:tc>
        <w:tc>
          <w:tcPr>
            <w:tcW w:type="dxa" w:w="78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現行運用が患者と施設にもたらしている負担を定量する</w:t>
            </w:r>
          </w:p>
        </w:tc>
      </w:tr>
      <w:tr>
        <w:tc>
          <w:tcPr>
            <w:tcW w:type="dxa" w:w="18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対象</w:t>
            </w:r>
          </w:p>
        </w:tc>
        <w:tc>
          <w:tcPr>
            <w:tcW w:type="dxa" w:w="78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調査対象期間内に、ネイルを理由に延期となった全症例</w:t>
            </w:r>
          </w:p>
        </w:tc>
      </w:tr>
      <w:tr>
        <w:tc>
          <w:tcPr>
            <w:tcW w:type="dxa" w:w="18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実機</w:t>
            </w:r>
          </w:p>
        </w:tc>
        <w:tc>
          <w:tcPr>
            <w:tcW w:type="dxa" w:w="78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使用しない。実験と並行して着手できる</w:t>
            </w:r>
          </w:p>
        </w:tc>
      </w:tr>
      <w:tr>
        <w:tc>
          <w:tcPr>
            <w:tcW w:type="dxa" w:w="18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記録先</w:t>
            </w:r>
          </w:p>
        </w:tc>
        <w:tc>
          <w:tcPr>
            <w:tcW w:type="dxa" w:w="78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ワークブック「07_延期症例」</w:t>
            </w:r>
          </w:p>
        </w:tc>
      </w:tr>
    </w:tbl>
    <w:p>
      <w:pPr>
        <w:spacing w:after="120"/>
      </w:pPr>
    </w:p>
    <w:p>
      <w:pPr>
        <w:pStyle w:val="Heading2"/>
        <w:spacing w:after="120" w:before="220"/>
      </w:pPr>
      <w:r>
        <w:rPr>
          <w:rFonts w:ascii="Meiryo" w:cs="Meiryo" w:eastAsia="Meiryo" w:hAnsi="Meiryo"/>
          <w:b/>
          <w:bCs/>
          <w:color w:val="1B9AAA"/>
          <w:sz w:val="22"/>
          <w:szCs w:val="22"/>
        </w:rPr>
        <w:t xml:space="preserve">11.1　手順</w:t>
      </w:r>
    </w:p>
    <w:p>
      <w:pPr>
        <w:pStyle w:val="ListParagraph"/>
        <w:numPr>
          <w:ilvl w:val="0"/>
          <w:numId w:val="7"/>
        </w:numPr>
        <w:spacing w:after="80" w:line="280"/>
      </w:pPr>
      <w:r>
        <w:rPr>
          <w:rFonts w:ascii="Meiryo" w:cs="Meiryo" w:eastAsia="Meiryo" w:hAnsi="Meiryo"/>
          <w:sz w:val="21"/>
          <w:szCs w:val="21"/>
        </w:rPr>
        <w:t xml:space="preserve">院内の承認手続きを経る。データの利用範囲と公表可否を事前に確認する。</w:t>
      </w:r>
    </w:p>
    <w:p>
      <w:pPr>
        <w:pStyle w:val="ListParagraph"/>
        <w:numPr>
          <w:ilvl w:val="0"/>
          <w:numId w:val="7"/>
        </w:numPr>
        <w:spacing w:after="80" w:line="280"/>
      </w:pPr>
      <w:r>
        <w:rPr>
          <w:rFonts w:ascii="Meiryo" w:cs="Meiryo" w:eastAsia="Meiryo" w:hAnsi="Meiryo"/>
          <w:sz w:val="21"/>
          <w:szCs w:val="21"/>
        </w:rPr>
        <w:t xml:space="preserve">調査対象期間を決める（試験運用の前後比較を行う場合は、変更前6か月・変更後6か月など対称に取る）。</w:t>
      </w:r>
    </w:p>
    <w:p>
      <w:pPr>
        <w:pStyle w:val="ListParagraph"/>
        <w:numPr>
          <w:ilvl w:val="0"/>
          <w:numId w:val="7"/>
        </w:numPr>
        <w:spacing w:after="80" w:line="280"/>
      </w:pPr>
      <w:r>
        <w:rPr>
          <w:rFonts w:ascii="Meiryo" w:cs="Meiryo" w:eastAsia="Meiryo" w:hAnsi="Meiryo"/>
          <w:sz w:val="21"/>
          <w:szCs w:val="21"/>
        </w:rPr>
        <w:t xml:space="preserve">予約・実施記録から、ネイルを理由に延期となった症例を抽出する。</w:t>
      </w:r>
    </w:p>
    <w:p>
      <w:pPr>
        <w:pStyle w:val="ListParagraph"/>
        <w:numPr>
          <w:ilvl w:val="0"/>
          <w:numId w:val="7"/>
        </w:numPr>
        <w:spacing w:after="80" w:line="280"/>
      </w:pPr>
      <w:r>
        <w:rPr>
          <w:rFonts w:ascii="Meiryo" w:cs="Meiryo" w:eastAsia="Meiryo" w:hAnsi="Meiryo"/>
          <w:sz w:val="21"/>
          <w:szCs w:val="21"/>
        </w:rPr>
        <w:t xml:space="preserve">各症例について、症例No・依頼日・初回予約日・実施日・撮影部位・ネイル種別・延期の有無・延期理由・未受検の該当を記録する。症例Noは連番とし、個人が特定できる情報は記録しない。</w:t>
      </w:r>
    </w:p>
    <w:p>
      <w:pPr>
        <w:pStyle w:val="ListParagraph"/>
        <w:numPr>
          <w:ilvl w:val="0"/>
          <w:numId w:val="7"/>
        </w:numPr>
        <w:spacing w:after="80" w:line="280"/>
      </w:pPr>
      <w:r>
        <w:rPr>
          <w:rFonts w:ascii="Meiryo" w:cs="Meiryo" w:eastAsia="Meiryo" w:hAnsi="Meiryo"/>
          <w:sz w:val="21"/>
          <w:szCs w:val="21"/>
        </w:rPr>
        <w:t xml:space="preserve">延期しなかった症例も対照として同様に記録する。日数の比較に必要となる。</w:t>
      </w:r>
    </w:p>
    <w:p>
      <w:pPr>
        <w:pStyle w:val="ListParagraph"/>
        <w:numPr>
          <w:ilvl w:val="0"/>
          <w:numId w:val="7"/>
        </w:numPr>
        <w:spacing w:after="80" w:line="280"/>
      </w:pPr>
      <w:r>
        <w:rPr>
          <w:rFonts w:ascii="Meiryo" w:cs="Meiryo" w:eastAsia="Meiryo" w:hAnsi="Meiryo"/>
          <w:sz w:val="21"/>
          <w:szCs w:val="21"/>
        </w:rPr>
        <w:t xml:space="preserve">延期後に再予約されず、検査が実施されないまま終わった症例を「未受検」として漏れなく拾う。</w:t>
      </w:r>
    </w:p>
    <w:p>
      <w:pPr>
        <w:pStyle w:val="ListParagraph"/>
        <w:numPr>
          <w:ilvl w:val="0"/>
          <w:numId w:val="7"/>
        </w:numPr>
        <w:spacing w:after="80" w:line="280"/>
      </w:pPr>
      <w:r>
        <w:rPr>
          <w:rFonts w:ascii="Meiryo" w:cs="Meiryo" w:eastAsia="Meiryo" w:hAnsi="Meiryo"/>
          <w:sz w:val="21"/>
          <w:szCs w:val="21"/>
        </w:rPr>
        <w:t xml:space="preserve">可能であれば、問診票の記載と実際のネイル種別が一致していたかを確認し、備考に記録する。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BE3E6" w:color="auto" w:val="clear"/>
            <w:tcMar>
              <w:top w:type="dxa" w:w="140"/>
              <w:left w:type="dxa" w:w="180"/>
              <w:bottom w:type="dxa" w:w="140"/>
              <w:right w:type="dxa" w:w="180"/>
            </w:tcMar>
          </w:tcPr>
          <w:p>
            <w:pPr>
              <w:spacing w:after="80"/>
            </w:pPr>
            <w:r>
              <w:rPr>
                <w:rFonts w:ascii="Meiryo" w:cs="Meiryo" w:eastAsia="Meiryo" w:hAnsi="Meiryo"/>
                <w:b/>
                <w:bCs/>
                <w:color w:val="B5326A"/>
                <w:sz w:val="21"/>
                <w:szCs w:val="21"/>
              </w:rPr>
              <w:t xml:space="preserve">拾い漏らしてはいけない2つの指標</w:t>
            </w:r>
          </w:p>
          <w:p>
            <w:pPr>
              <w:spacing w:after="40" w:line="270"/>
            </w:pPr>
            <w:r>
              <w:rPr>
                <w:rFonts w:ascii="Meiryo" w:cs="Meiryo" w:eastAsia="Meiryo" w:hAnsi="Meiryo"/>
                <w:sz w:val="20"/>
                <w:szCs w:val="20"/>
              </w:rPr>
              <w:t xml:space="preserve">依頼日から実施日までの日数：件数よりもこちらが効く。「年間○件の延期」は行政的な数字だが、「診断が中央値○日遅れている」は臨床の数字である。</w:t>
            </w:r>
          </w:p>
          <w:p>
            <w:pPr>
              <w:spacing w:after="40" w:line="270"/>
            </w:pPr>
            <w:r>
              <w:rPr>
                <w:rFonts w:ascii="Meiryo" w:cs="Meiryo" w:eastAsia="Meiryo" w:hAnsi="Meiryo"/>
                <w:sz w:val="20"/>
                <w:szCs w:val="20"/>
              </w:rPr>
              <w:t xml:space="preserve">未受検（脱落）症例：延期後に再予約されず終わった症例。一定数いるなら、安全のための運用が「未受検」という別のリスクを生んでいることになる。本研究で最も重い指摘になりうる。</w:t>
            </w:r>
          </w:p>
        </w:tc>
      </w:tr>
    </w:tbl>
    <w:p>
      <w:pPr>
        <w:spacing w:after="120"/>
      </w:pPr>
    </w:p>
    <w:p>
      <w:pPr>
        <w:spacing w:after="100" w:before="0" w:line="280"/>
      </w:pPr>
      <w:r>
        <w:rPr>
          <w:rFonts w:ascii="Meiryo" w:cs="Meiryo" w:eastAsia="Meiryo" w:hAnsi="Meiryo"/>
          <w:b/>
          <w:bCs/>
          <w:color w:val="1F2430"/>
          <w:sz w:val="21"/>
          <w:szCs w:val="21"/>
        </w:rPr>
        <w:t xml:space="preserve">撮影部位の内訳は必ず取る。手順Bで距離依存性が示せた場合、頭部・体幹部の延期件数がそのまま「回避できたはずの遅れ」として提示できる。</w:t>
      </w:r>
    </w:p>
    <w:p>
      <w:pPr>
        <w:pStyle w:val="Heading1"/>
        <w:spacing w:after="160" w:before="320"/>
      </w:pPr>
      <w:r>
        <w:rPr>
          <w:rFonts w:ascii="Meiryo" w:cs="Meiryo" w:eastAsia="Meiryo" w:hAnsi="Meiryo"/>
          <w:b/>
          <w:bCs/>
          <w:color w:val="0F1626"/>
          <w:sz w:val="26"/>
          <w:szCs w:val="26"/>
        </w:rPr>
        <w:t xml:space="preserve">12　手順E-3：簡易磁石テストの性能評価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目的</w:t>
            </w:r>
          </w:p>
        </w:tc>
        <w:tc>
          <w:tcPr>
            <w:tcW w:type="dxa" w:w="78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受付や更衣室で数秒で行える判定法が、実用に足る精度を持つか評価する</w:t>
            </w:r>
          </w:p>
        </w:tc>
      </w:tr>
      <w:tr>
        <w:tc>
          <w:tcPr>
            <w:tcW w:type="dxa" w:w="18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正解ラベル</w:t>
            </w:r>
          </w:p>
        </w:tc>
        <w:tc>
          <w:tcPr>
            <w:tcW w:type="dxa" w:w="78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手順A・手順Bの結果から決めた「磁性あり／なし」</w:t>
            </w:r>
          </w:p>
        </w:tc>
      </w:tr>
      <w:tr>
        <w:tc>
          <w:tcPr>
            <w:tcW w:type="dxa" w:w="1800"/>
            <w:shd w:fill="F2F4F8" w:color="auto" w:val="clear"/>
            <w:tcMar>
              <w:top w:type="dxa" w:w="80"/>
              <w:left w:type="dxa" w:w="120"/>
              <w:bottom w:type="dxa" w:w="80"/>
              <w:right w:type="dxa" w:w="120"/>
            </w:tcMar>
          </w:tcPr>
          <w:p>
            <w:pPr>
              <w:spacing w:after="0" w:line="260"/>
            </w:pPr>
            <w:r>
              <w:rPr>
                <w:rFonts w:ascii="Meiryo" w:cs="Meiryo" w:eastAsia="Meiryo" w:hAnsi="Meiryo"/>
                <w:b/>
                <w:bCs/>
                <w:color w:val="1F2430"/>
                <w:sz w:val="20"/>
                <w:szCs w:val="20"/>
              </w:rPr>
              <w:t xml:space="preserve">記録先</w:t>
            </w:r>
          </w:p>
        </w:tc>
        <w:tc>
          <w:tcPr>
            <w:tcW w:type="dxa" w:w="78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ワークブック「09_スクリーニング検証」</w:t>
            </w:r>
          </w:p>
        </w:tc>
      </w:tr>
    </w:tbl>
    <w:p>
      <w:pPr>
        <w:spacing w:after="120"/>
      </w:pPr>
    </w:p>
    <w:p>
      <w:pPr>
        <w:pStyle w:val="ListParagraph"/>
        <w:numPr>
          <w:ilvl w:val="0"/>
          <w:numId w:val="8"/>
        </w:numPr>
        <w:spacing w:after="80" w:line="280"/>
      </w:pPr>
      <w:r>
        <w:rPr>
          <w:rFonts w:ascii="Meiryo" w:cs="Meiryo" w:eastAsia="Meiryo" w:hAnsi="Meiryo"/>
          <w:sz w:val="21"/>
          <w:szCs w:val="21"/>
        </w:rPr>
        <w:t xml:space="preserve">テストの手順を定める（磁石の種類、爪からの距離、判定にかける時間）。手順は全試料で同一とする。</w:t>
      </w:r>
    </w:p>
    <w:p>
      <w:pPr>
        <w:pStyle w:val="ListParagraph"/>
        <w:numPr>
          <w:ilvl w:val="0"/>
          <w:numId w:val="8"/>
        </w:numPr>
        <w:spacing w:after="80" w:line="280"/>
      </w:pPr>
      <w:r>
        <w:rPr>
          <w:rFonts w:ascii="Meiryo" w:cs="Meiryo" w:eastAsia="Meiryo" w:hAnsi="Meiryo"/>
          <w:sz w:val="21"/>
          <w:szCs w:val="21"/>
        </w:rPr>
        <w:t xml:space="preserve">判定者には、その試料が何であるかを伏せた状態で判定させる。</w:t>
      </w:r>
    </w:p>
    <w:p>
      <w:pPr>
        <w:pStyle w:val="ListParagraph"/>
        <w:numPr>
          <w:ilvl w:val="0"/>
          <w:numId w:val="8"/>
        </w:numPr>
        <w:spacing w:after="80" w:line="280"/>
      </w:pPr>
      <w:r>
        <w:rPr>
          <w:rFonts w:ascii="Meiryo" w:cs="Meiryo" w:eastAsia="Meiryo" w:hAnsi="Meiryo"/>
          <w:sz w:val="21"/>
          <w:szCs w:val="21"/>
        </w:rPr>
        <w:t xml:space="preserve">各試料について、テスト結果（陽性／陰性）と基準判定（磁性あり／なし）を記録する。</w:t>
      </w:r>
    </w:p>
    <w:p>
      <w:pPr>
        <w:pStyle w:val="ListParagraph"/>
        <w:numPr>
          <w:ilvl w:val="0"/>
          <w:numId w:val="8"/>
        </w:numPr>
        <w:spacing w:after="80" w:line="280"/>
      </w:pPr>
      <w:r>
        <w:rPr>
          <w:rFonts w:ascii="Meiryo" w:cs="Meiryo" w:eastAsia="Meiryo" w:hAnsi="Meiryo"/>
          <w:sz w:val="21"/>
          <w:szCs w:val="21"/>
        </w:rPr>
        <w:t xml:space="preserve">2×2表から感度・特異度・陽性的中率・陰性的中率・正確度を算出する（ワークブックで自動計算される）。</w:t>
      </w:r>
    </w:p>
    <w:p>
      <w:pPr>
        <w:pStyle w:val="ListParagraph"/>
        <w:numPr>
          <w:ilvl w:val="0"/>
          <w:numId w:val="8"/>
        </w:numPr>
        <w:spacing w:after="80" w:line="280"/>
      </w:pPr>
      <w:r>
        <w:rPr>
          <w:rFonts w:ascii="Meiryo" w:cs="Meiryo" w:eastAsia="Meiryo" w:hAnsi="Meiryo"/>
          <w:sz w:val="21"/>
          <w:szCs w:val="21"/>
        </w:rPr>
        <w:t xml:space="preserve">判定者を変えて再度実施し、判定者間の一致度を確認する。</w:t>
      </w:r>
    </w:p>
    <w:p>
      <w:pPr>
        <w:spacing w:after="60"/>
      </w:pPr>
    </w:p>
    <w:p>
      <w:pPr>
        <w:spacing w:after="100" w:before="0" w:line="280"/>
      </w:pPr>
      <w:r>
        <w:rPr>
          <w:rFonts w:ascii="Meiryo" w:cs="Meiryo" w:eastAsia="Meiryo" w:hAnsi="Meiryo"/>
          <w:b/>
          <w:bCs/>
          <w:color w:val="B5326A"/>
          <w:sz w:val="21"/>
          <w:szCs w:val="21"/>
        </w:rPr>
        <w:t xml:space="preserve">受付で使うテストであるため、重視すべきは感度（磁性ありを見逃さないこと）である。特異度が多少低くても、見逃しが少ないほうが運用上望ましい。</w:t>
      </w:r>
    </w:p>
    <w:p>
      <w:r>
        <w:br w:type="page"/>
      </w:r>
    </w:p>
    <w:p>
      <w:pPr>
        <w:pStyle w:val="Heading1"/>
        <w:spacing w:after="160" w:before="320"/>
      </w:pPr>
      <w:r>
        <w:rPr>
          <w:rFonts w:ascii="Meiryo" w:cs="Meiryo" w:eastAsia="Meiryo" w:hAnsi="Meiryo"/>
          <w:b/>
          <w:bCs/>
          <w:color w:val="0F1626"/>
          <w:sz w:val="26"/>
          <w:szCs w:val="26"/>
        </w:rPr>
        <w:t xml:space="preserve">13　測定順序とバイアス対策</w:t>
      </w:r>
    </w:p>
    <w:p>
      <w:pPr>
        <w:pStyle w:val="Heading2"/>
        <w:spacing w:after="120" w:before="220"/>
      </w:pPr>
      <w:r>
        <w:rPr>
          <w:rFonts w:ascii="Meiryo" w:cs="Meiryo" w:eastAsia="Meiryo" w:hAnsi="Meiryo"/>
          <w:b/>
          <w:bCs/>
          <w:color w:val="1B9AAA"/>
          <w:sz w:val="22"/>
          <w:szCs w:val="22"/>
        </w:rPr>
        <w:t xml:space="preserve">13.1　無作為化</w:t>
      </w:r>
    </w:p>
    <w:p>
      <w:pPr>
        <w:spacing w:after="100" w:before="0" w:line="280"/>
      </w:pPr>
      <w:r>
        <w:rPr>
          <w:rFonts w:ascii="Meiryo" w:cs="Meiryo" w:eastAsia="Meiryo" w:hAnsi="Meiryo"/>
          <w:color w:val="1F2430"/>
          <w:sz w:val="21"/>
          <w:szCs w:val="21"/>
        </w:rPr>
        <w:t xml:space="preserve">試料の測定順序は、条件ごとにまとめず、乱数を用いて無作為化する。装置の状態や測定者の慣れが特定の条件に偏って影響することを避けるためである。使用した順序は記録に残す。</w:t>
      </w:r>
    </w:p>
    <w:p>
      <w:pPr>
        <w:pStyle w:val="Heading2"/>
        <w:spacing w:after="120" w:before="220"/>
      </w:pPr>
      <w:r>
        <w:rPr>
          <w:rFonts w:ascii="Meiryo" w:cs="Meiryo" w:eastAsia="Meiryo" w:hAnsi="Meiryo"/>
          <w:b/>
          <w:bCs/>
          <w:color w:val="1B9AAA"/>
          <w:sz w:val="22"/>
          <w:szCs w:val="22"/>
        </w:rPr>
        <w:t xml:space="preserve">13.2　盲検化</w:t>
      </w:r>
    </w:p>
    <w:p>
      <w:pPr>
        <w:spacing w:after="100" w:before="0" w:line="280"/>
      </w:pPr>
      <w:r>
        <w:rPr>
          <w:rFonts w:ascii="Meiryo" w:cs="Meiryo" w:eastAsia="Meiryo" w:hAnsi="Meiryo"/>
          <w:color w:val="1F2430"/>
          <w:sz w:val="21"/>
          <w:szCs w:val="21"/>
        </w:rPr>
        <w:t xml:space="preserve">画像計測（8.3）と簡易磁石テストの判定（手順E-3）は、対象の素性を伏せた状態で行う。ファイル名や試料の外観から条件が分かる場合は、記号に置き換えてから渡す。</w:t>
      </w:r>
    </w:p>
    <w:p>
      <w:pPr>
        <w:pStyle w:val="Heading2"/>
        <w:spacing w:after="120" w:before="220"/>
      </w:pPr>
      <w:r>
        <w:rPr>
          <w:rFonts w:ascii="Meiryo" w:cs="Meiryo" w:eastAsia="Meiryo" w:hAnsi="Meiryo"/>
          <w:b/>
          <w:bCs/>
          <w:color w:val="1B9AAA"/>
          <w:sz w:val="22"/>
          <w:szCs w:val="22"/>
        </w:rPr>
        <w:t xml:space="preserve">13.3　反復数</w:t>
      </w:r>
    </w:p>
    <w:p>
      <w:pPr>
        <w:spacing w:after="100" w:before="0" w:line="280"/>
      </w:pPr>
      <w:r>
        <w:rPr>
          <w:rFonts w:ascii="Meiryo" w:cs="Meiryo" w:eastAsia="Meiryo" w:hAnsi="Meiryo"/>
          <w:color w:val="1F2430"/>
          <w:sz w:val="21"/>
          <w:szCs w:val="21"/>
        </w:rPr>
        <w:t xml:space="preserve">各条件 n は手順ごとに定めた値を下限とする。時間に余裕がある場合は増やしてよいが、条件間で n を大きく変えない。撮影枠の制約が小さいという本研究の利点は、ここに充てるのが最も効果的である。</w:t>
      </w:r>
    </w:p>
    <w:p>
      <w:pPr>
        <w:pStyle w:val="Heading2"/>
        <w:spacing w:after="120" w:before="220"/>
      </w:pPr>
      <w:r>
        <w:rPr>
          <w:rFonts w:ascii="Meiryo" w:cs="Meiryo" w:eastAsia="Meiryo" w:hAnsi="Meiryo"/>
          <w:b/>
          <w:bCs/>
          <w:color w:val="1B9AAA"/>
          <w:sz w:val="22"/>
          <w:szCs w:val="22"/>
        </w:rPr>
        <w:t xml:space="preserve">13.4　記録のタイミング</w:t>
      </w:r>
    </w:p>
    <w:p>
      <w:pPr>
        <w:spacing w:after="100" w:before="0" w:line="280"/>
      </w:pPr>
      <w:r>
        <w:rPr>
          <w:rFonts w:ascii="Meiryo" w:cs="Meiryo" w:eastAsia="Meiryo" w:hAnsi="Meiryo"/>
          <w:color w:val="1F2430"/>
          <w:sz w:val="21"/>
          <w:szCs w:val="21"/>
        </w:rPr>
        <w:t xml:space="preserve">測定値はその場でワークブックに記録する。メモから後でまとめて転記する方法は、転記ミスと記憶による補正が入るため行わない。</w:t>
      </w:r>
    </w:p>
    <w:p>
      <w:pPr>
        <w:pStyle w:val="Heading1"/>
        <w:spacing w:after="160" w:before="320"/>
      </w:pPr>
      <w:r>
        <w:rPr>
          <w:rFonts w:ascii="Meiryo" w:cs="Meiryo" w:eastAsia="Meiryo" w:hAnsi="Meiryo"/>
          <w:b/>
          <w:bCs/>
          <w:color w:val="0F1626"/>
          <w:sz w:val="26"/>
          <w:szCs w:val="26"/>
        </w:rPr>
        <w:t xml:space="preserve">14　データの記録と管理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shd w:fill="2E3A59" w:color="auto" w:val="clear"/>
            <w:tcMar>
              <w:top w:type="dxa" w:w="80"/>
              <w:left w:type="dxa" w:w="120"/>
              <w:bottom w:type="dxa" w:w="80"/>
              <w:right w:type="dxa" w:w="120"/>
            </w:tcMar>
          </w:tcPr>
          <w:p>
            <w:pPr>
              <w:spacing w:after="0" w:line="260"/>
              <w:jc w:val="center"/>
            </w:pPr>
            <w:r>
              <w:rPr>
                <w:rFonts w:ascii="Meiryo" w:cs="Meiryo" w:eastAsia="Meiryo" w:hAnsi="Meiryo"/>
                <w:b/>
                <w:bCs/>
                <w:color w:val="FFFFFF"/>
                <w:sz w:val="20"/>
                <w:szCs w:val="20"/>
              </w:rPr>
              <w:t xml:space="preserve">項目</w:t>
            </w:r>
          </w:p>
        </w:tc>
        <w:tc>
          <w:tcPr>
            <w:tcW w:type="dxa" w:w="6438"/>
            <w:shd w:fill="2E3A59" w:color="auto" w:val="clear"/>
            <w:tcMar>
              <w:top w:type="dxa" w:w="80"/>
              <w:left w:type="dxa" w:w="120"/>
              <w:bottom w:type="dxa" w:w="80"/>
              <w:right w:type="dxa" w:w="120"/>
            </w:tcMar>
          </w:tcPr>
          <w:p>
            <w:pPr>
              <w:spacing w:after="0" w:line="260"/>
              <w:jc w:val="center"/>
            </w:pPr>
            <w:r>
              <w:rPr>
                <w:rFonts w:ascii="Meiryo" w:cs="Meiryo" w:eastAsia="Meiryo" w:hAnsi="Meiryo"/>
                <w:b/>
                <w:bCs/>
                <w:color w:val="FFFFFF"/>
                <w:sz w:val="20"/>
                <w:szCs w:val="20"/>
              </w:rPr>
              <w:t xml:space="preserve">取り扱い</w:t>
            </w:r>
          </w:p>
        </w:tc>
      </w:tr>
      <w:tr>
        <w:tc>
          <w:tcPr>
            <w:tcW w:type="dxa" w:w="32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記録先</w:t>
            </w:r>
          </w:p>
        </w:tc>
        <w:tc>
          <w:tcPr>
            <w:tcW w:type="dxa" w:w="6438"/>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ワークブック（magnet-nail-mri_workbook.xlsx）。黄色のセルのみ入力し、灰色の自動計算セルは上書きしない</w:t>
            </w:r>
          </w:p>
        </w:tc>
      </w:tr>
      <w:tr>
        <w:tc>
          <w:tcPr>
            <w:tcW w:type="dxa" w:w="32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画像データ</w:t>
            </w:r>
          </w:p>
        </w:tc>
        <w:tc>
          <w:tcPr>
            <w:tcW w:type="dxa" w:w="64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装置から書き出し、撮影日・装置・条件が分かる規則でファイル名を付けて保存する</w:t>
            </w:r>
          </w:p>
        </w:tc>
      </w:tr>
      <w:tr>
        <w:tc>
          <w:tcPr>
            <w:tcW w:type="dxa" w:w="32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バックアップ</w:t>
            </w:r>
          </w:p>
        </w:tc>
        <w:tc>
          <w:tcPr>
            <w:tcW w:type="dxa" w:w="6438"/>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作業日ごとに複製を取る。複製先は院内の規定に従う</w:t>
            </w:r>
          </w:p>
        </w:tc>
      </w:tr>
      <w:tr>
        <w:tc>
          <w:tcPr>
            <w:tcW w:type="dxa" w:w="32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個人情報</w:t>
            </w:r>
          </w:p>
        </w:tc>
        <w:tc>
          <w:tcPr>
            <w:tcW w:type="dxa" w:w="64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症例Noは連番とし、氏名・ID・生年月日は記録しない</w:t>
            </w:r>
          </w:p>
        </w:tc>
      </w:tr>
      <w:tr>
        <w:tc>
          <w:tcPr>
            <w:tcW w:type="dxa" w:w="32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公表</w:t>
            </w:r>
          </w:p>
        </w:tc>
        <w:tc>
          <w:tcPr>
            <w:tcW w:type="dxa" w:w="6438"/>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施設名・装置機種の公表可否は事前に院内の承認を得る</w:t>
            </w:r>
          </w:p>
        </w:tc>
      </w:tr>
      <w:tr>
        <w:tc>
          <w:tcPr>
            <w:tcW w:type="dxa" w:w="32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保管期間</w:t>
            </w:r>
          </w:p>
        </w:tc>
        <w:tc>
          <w:tcPr>
            <w:tcW w:type="dxa" w:w="64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院内規定に従う</w:t>
            </w:r>
          </w:p>
        </w:tc>
      </w:tr>
    </w:tbl>
    <w:p>
      <w:pPr>
        <w:pStyle w:val="Heading1"/>
        <w:spacing w:after="160" w:before="320"/>
      </w:pPr>
      <w:r>
        <w:rPr>
          <w:rFonts w:ascii="Meiryo" w:cs="Meiryo" w:eastAsia="Meiryo" w:hAnsi="Meiryo"/>
          <w:b/>
          <w:bCs/>
          <w:color w:val="0F1626"/>
          <w:sz w:val="26"/>
          <w:szCs w:val="26"/>
        </w:rPr>
        <w:t xml:space="preserve">15　中止基準と異常時の対応</w:t>
      </w:r>
    </w:p>
    <w:p>
      <w:pPr>
        <w:spacing w:after="100" w:before="0" w:line="280"/>
      </w:pPr>
      <w:r>
        <w:rPr>
          <w:rFonts w:ascii="Meiryo" w:cs="Meiryo" w:eastAsia="Meiryo" w:hAnsi="Meiryo"/>
          <w:b/>
          <w:bCs/>
          <w:color w:val="B5326A"/>
          <w:sz w:val="21"/>
          <w:szCs w:val="21"/>
        </w:rPr>
        <w:t xml:space="preserve">次のいずれかを認めた場合、直ちに撮像を中断する。判断に迷う場合は中断を選ぶ。</w:t>
      </w:r>
    </w:p>
    <w:p>
      <w:pPr>
        <w:pStyle w:val="ListParagraph"/>
        <w:numPr>
          <w:ilvl w:val="0"/>
          <w:numId w:val="9"/>
        </w:numPr>
        <w:spacing w:after="80" w:line="280"/>
      </w:pPr>
      <w:r>
        <w:rPr>
          <w:rFonts w:ascii="Meiryo" w:cs="Meiryo" w:eastAsia="Meiryo" w:hAnsi="Meiryo"/>
          <w:sz w:val="21"/>
          <w:szCs w:val="21"/>
        </w:rPr>
        <w:t xml:space="preserve">装置から異音がした。</w:t>
      </w:r>
    </w:p>
    <w:p>
      <w:pPr>
        <w:pStyle w:val="ListParagraph"/>
        <w:numPr>
          <w:ilvl w:val="0"/>
          <w:numId w:val="9"/>
        </w:numPr>
        <w:spacing w:after="80" w:line="280"/>
      </w:pPr>
      <w:r>
        <w:rPr>
          <w:rFonts w:ascii="Meiryo" w:cs="Meiryo" w:eastAsia="Meiryo" w:hAnsi="Meiryo"/>
          <w:sz w:val="21"/>
          <w:szCs w:val="21"/>
        </w:rPr>
        <w:t xml:space="preserve">試料の位置がずれた、または脱落した。</w:t>
      </w:r>
    </w:p>
    <w:p>
      <w:pPr>
        <w:pStyle w:val="ListParagraph"/>
        <w:numPr>
          <w:ilvl w:val="0"/>
          <w:numId w:val="9"/>
        </w:numPr>
        <w:spacing w:after="80" w:line="280"/>
      </w:pPr>
      <w:r>
        <w:rPr>
          <w:rFonts w:ascii="Meiryo" w:cs="Meiryo" w:eastAsia="Meiryo" w:hAnsi="Meiryo"/>
          <w:sz w:val="21"/>
          <w:szCs w:val="21"/>
        </w:rPr>
        <w:t xml:space="preserve">示温ラベルが想定外の温度段で変色した。</w:t>
      </w:r>
    </w:p>
    <w:p>
      <w:pPr>
        <w:pStyle w:val="ListParagraph"/>
        <w:numPr>
          <w:ilvl w:val="0"/>
          <w:numId w:val="9"/>
        </w:numPr>
        <w:spacing w:after="80" w:line="280"/>
      </w:pPr>
      <w:r>
        <w:rPr>
          <w:rFonts w:ascii="Meiryo" w:cs="Meiryo" w:eastAsia="Meiryo" w:hAnsi="Meiryo"/>
          <w:sz w:val="21"/>
          <w:szCs w:val="21"/>
        </w:rPr>
        <w:t xml:space="preserve">試料の外観に変化（変形・変色・剥離）が生じた。</w:t>
      </w:r>
    </w:p>
    <w:p>
      <w:pPr>
        <w:pStyle w:val="ListParagraph"/>
        <w:numPr>
          <w:ilvl w:val="0"/>
          <w:numId w:val="9"/>
        </w:numPr>
        <w:spacing w:after="80" w:line="280"/>
      </w:pPr>
      <w:r>
        <w:rPr>
          <w:rFonts w:ascii="Meiryo" w:cs="Meiryo" w:eastAsia="Meiryo" w:hAnsi="Meiryo"/>
          <w:sz w:val="21"/>
          <w:szCs w:val="21"/>
        </w:rPr>
        <w:t xml:space="preserve">治具に想定外の動きが見られた。</w:t>
      </w:r>
    </w:p>
    <w:p>
      <w:pPr>
        <w:pStyle w:val="ListParagraph"/>
        <w:numPr>
          <w:ilvl w:val="0"/>
          <w:numId w:val="9"/>
        </w:numPr>
        <w:spacing w:after="80" w:line="280"/>
      </w:pPr>
      <w:r>
        <w:rPr>
          <w:rFonts w:ascii="Meiryo" w:cs="Meiryo" w:eastAsia="Meiryo" w:hAnsi="Meiryo"/>
          <w:sz w:val="21"/>
          <w:szCs w:val="21"/>
        </w:rPr>
        <w:t xml:space="preserve">その他、実施者の誰かが危険を感じた。</w:t>
      </w:r>
    </w:p>
    <w:p>
      <w:pPr>
        <w:spacing w:after="120"/>
      </w:pPr>
    </w:p>
    <w:p>
      <w:pPr>
        <w:pStyle w:val="Heading2"/>
        <w:spacing w:after="120" w:before="220"/>
      </w:pPr>
      <w:r>
        <w:rPr>
          <w:rFonts w:ascii="Meiryo" w:cs="Meiryo" w:eastAsia="Meiryo" w:hAnsi="Meiryo"/>
          <w:b/>
          <w:bCs/>
          <w:color w:val="1B9AAA"/>
          <w:sz w:val="22"/>
          <w:szCs w:val="22"/>
        </w:rPr>
        <w:t xml:space="preserve">15.1　中断後の対応</w:t>
      </w:r>
    </w:p>
    <w:p>
      <w:pPr>
        <w:spacing w:after="100" w:before="0" w:line="280"/>
      </w:pPr>
      <w:r>
        <w:rPr>
          <w:rFonts w:ascii="Meiryo" w:cs="Meiryo" w:eastAsia="Meiryo" w:hAnsi="Meiryo"/>
          <w:color w:val="1F2430"/>
          <w:sz w:val="21"/>
          <w:szCs w:val="21"/>
        </w:rPr>
        <w:t xml:space="preserve">1. 撮像を停止し、寝台を退室位置まで戻す。　2. 実施責任者に報告する。　3. 試料と治具を回収し、点数を確認する。　4. 状況・時刻・条件を撮影ログの特記事項に記録する。　5. 原因が特定できるまで、同一条件での再実施は行わない。</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BE3E6" w:color="auto" w:val="clear"/>
            <w:tcMar>
              <w:top w:type="dxa" w:w="140"/>
              <w:left w:type="dxa" w:w="180"/>
              <w:bottom w:type="dxa" w:w="140"/>
              <w:right w:type="dxa" w:w="180"/>
            </w:tcMar>
          </w:tcPr>
          <w:p>
            <w:pPr>
              <w:spacing w:after="80"/>
            </w:pPr>
            <w:r>
              <w:rPr>
                <w:rFonts w:ascii="Meiryo" w:cs="Meiryo" w:eastAsia="Meiryo" w:hAnsi="Meiryo"/>
                <w:b/>
                <w:bCs/>
                <w:color w:val="B5326A"/>
                <w:sz w:val="21"/>
                <w:szCs w:val="21"/>
              </w:rPr>
              <w:t xml:space="preserve">吸着が起きた場合</w:t>
            </w:r>
          </w:p>
          <w:p>
            <w:pPr>
              <w:spacing w:after="40" w:line="270"/>
            </w:pPr>
            <w:r>
              <w:rPr>
                <w:rFonts w:ascii="Meiryo" w:cs="Meiryo" w:eastAsia="Meiryo" w:hAnsi="Meiryo"/>
                <w:sz w:val="20"/>
                <w:szCs w:val="20"/>
              </w:rPr>
              <w:t xml:space="preserve">試料や治具が装置に吸着した場合、無理に引き剥がさない。装置の緊急停止（クエンチ）は重大な措置であり、実施責任者以外は判断しない。施設の緊急時手順に従うこと。</w:t>
            </w:r>
          </w:p>
        </w:tc>
      </w:tr>
    </w:tbl>
    <w:p>
      <w:pPr>
        <w:pStyle w:val="Heading1"/>
        <w:spacing w:after="160" w:before="320"/>
      </w:pPr>
      <w:r>
        <w:rPr>
          <w:rFonts w:ascii="Meiryo" w:cs="Meiryo" w:eastAsia="Meiryo" w:hAnsi="Meiryo"/>
          <w:b/>
          <w:bCs/>
          <w:color w:val="0F1626"/>
          <w:sz w:val="26"/>
          <w:szCs w:val="26"/>
        </w:rPr>
        <w:t xml:space="preserve">16　撤収手順</w:t>
      </w:r>
    </w:p>
    <w:p>
      <w:pPr>
        <w:pStyle w:val="ListParagraph"/>
        <w:numPr>
          <w:ilvl w:val="0"/>
          <w:numId w:val="10"/>
        </w:numPr>
        <w:spacing w:after="80" w:line="280"/>
      </w:pPr>
      <w:r>
        <w:rPr>
          <w:rFonts w:ascii="Meiryo" w:cs="Meiryo" w:eastAsia="Meiryo" w:hAnsi="Meiryo"/>
          <w:sz w:val="21"/>
          <w:szCs w:val="21"/>
        </w:rPr>
        <w:t xml:space="preserve">全試料を回収し、持ち込み時の点数と一致することを確認する。</w:t>
      </w:r>
    </w:p>
    <w:p>
      <w:pPr>
        <w:pStyle w:val="ListParagraph"/>
        <w:numPr>
          <w:ilvl w:val="0"/>
          <w:numId w:val="10"/>
        </w:numPr>
        <w:spacing w:after="80" w:line="280"/>
      </w:pPr>
      <w:r>
        <w:rPr>
          <w:rFonts w:ascii="Meiryo" w:cs="Meiryo" w:eastAsia="Meiryo" w:hAnsi="Meiryo"/>
          <w:sz w:val="21"/>
          <w:szCs w:val="21"/>
        </w:rPr>
        <w:t xml:space="preserve">治具・固定材・示温ラベルの残りを回収する。</w:t>
      </w:r>
    </w:p>
    <w:p>
      <w:pPr>
        <w:pStyle w:val="ListParagraph"/>
        <w:numPr>
          <w:ilvl w:val="0"/>
          <w:numId w:val="10"/>
        </w:numPr>
        <w:spacing w:after="80" w:line="280"/>
      </w:pPr>
      <w:r>
        <w:rPr>
          <w:rFonts w:ascii="Meiryo" w:cs="Meiryo" w:eastAsia="Meiryo" w:hAnsi="Meiryo"/>
          <w:sz w:val="21"/>
          <w:szCs w:val="21"/>
        </w:rPr>
        <w:t xml:space="preserve">ファントムを片付け、寝台とガントリー内に持ち込み物が残っていないことを目視で確認する。</w:t>
      </w:r>
    </w:p>
    <w:p>
      <w:pPr>
        <w:pStyle w:val="ListParagraph"/>
        <w:numPr>
          <w:ilvl w:val="0"/>
          <w:numId w:val="10"/>
        </w:numPr>
        <w:spacing w:after="80" w:line="280"/>
      </w:pPr>
      <w:r>
        <w:rPr>
          <w:rFonts w:ascii="Meiryo" w:cs="Meiryo" w:eastAsia="Meiryo" w:hAnsi="Meiryo"/>
          <w:sz w:val="21"/>
          <w:szCs w:val="21"/>
        </w:rPr>
        <w:t xml:space="preserve">装置を通常の状態に戻す。</w:t>
      </w:r>
    </w:p>
    <w:p>
      <w:pPr>
        <w:pStyle w:val="ListParagraph"/>
        <w:numPr>
          <w:ilvl w:val="0"/>
          <w:numId w:val="10"/>
        </w:numPr>
        <w:spacing w:after="80" w:line="280"/>
      </w:pPr>
      <w:r>
        <w:rPr>
          <w:rFonts w:ascii="Meiryo" w:cs="Meiryo" w:eastAsia="Meiryo" w:hAnsi="Meiryo"/>
          <w:sz w:val="21"/>
          <w:szCs w:val="21"/>
        </w:rPr>
        <w:t xml:space="preserve">撮影ログ（10_撮影ログ）に、実施日・装置・開始終了時刻・目的・立会者・試料点数・特記事項を記入する。</w:t>
      </w:r>
    </w:p>
    <w:p>
      <w:pPr>
        <w:pStyle w:val="ListParagraph"/>
        <w:numPr>
          <w:ilvl w:val="0"/>
          <w:numId w:val="10"/>
        </w:numPr>
        <w:spacing w:after="80" w:line="280"/>
      </w:pPr>
      <w:r>
        <w:rPr>
          <w:rFonts w:ascii="Meiryo" w:cs="Meiryo" w:eastAsia="Meiryo" w:hAnsi="Meiryo"/>
          <w:sz w:val="21"/>
          <w:szCs w:val="21"/>
        </w:rPr>
        <w:t xml:space="preserve">安全チェックリスト（11_安全チェックリスト）の実施後項目を記入し、実施者が署名する。</w:t>
      </w:r>
    </w:p>
    <w:p>
      <w:pPr>
        <w:pStyle w:val="ListParagraph"/>
        <w:numPr>
          <w:ilvl w:val="0"/>
          <w:numId w:val="10"/>
        </w:numPr>
        <w:spacing w:after="80" w:line="280"/>
      </w:pPr>
      <w:r>
        <w:rPr>
          <w:rFonts w:ascii="Meiryo" w:cs="Meiryo" w:eastAsia="Meiryo" w:hAnsi="Meiryo"/>
          <w:sz w:val="21"/>
          <w:szCs w:val="21"/>
        </w:rPr>
        <w:t xml:space="preserve">その日の測定値がワークブックに入力済みであることを確認する。</w:t>
      </w:r>
    </w:p>
    <w:p>
      <w:pPr>
        <w:pStyle w:val="Heading1"/>
        <w:spacing w:after="160" w:before="320"/>
      </w:pPr>
      <w:r>
        <w:rPr>
          <w:rFonts w:ascii="Meiryo" w:cs="Meiryo" w:eastAsia="Meiryo" w:hAnsi="Meiryo"/>
          <w:b/>
          <w:bCs/>
          <w:color w:val="0F1626"/>
          <w:sz w:val="26"/>
          <w:szCs w:val="26"/>
        </w:rPr>
        <w:t xml:space="preserve">17　記録様式一覧</w:t>
      </w:r>
    </w:p>
    <w:p>
      <w:pPr>
        <w:spacing w:after="80" w:before="0" w:line="280"/>
      </w:pPr>
      <w:r>
        <w:rPr>
          <w:rFonts w:ascii="Meiryo" w:cs="Meiryo" w:eastAsia="Meiryo" w:hAnsi="Meiryo"/>
          <w:color w:val="1F2430"/>
          <w:sz w:val="21"/>
          <w:szCs w:val="21"/>
        </w:rPr>
        <w:t xml:space="preserve">記録はすべてワークブック（magnet-nail-mri_workbook.xlsx）に集約する。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738"/>
      </w:tblGrid>
      <w:tr>
        <w:trPr>
          <w:tblHeader/>
        </w:trPr>
        <w:tc>
          <w:tcPr>
            <w:tcW w:type="dxa" w:w="3400"/>
            <w:shd w:fill="2E3A59" w:color="auto" w:val="clear"/>
            <w:tcMar>
              <w:top w:type="dxa" w:w="80"/>
              <w:left w:type="dxa" w:w="120"/>
              <w:bottom w:type="dxa" w:w="80"/>
              <w:right w:type="dxa" w:w="120"/>
            </w:tcMar>
          </w:tcPr>
          <w:p>
            <w:pPr>
              <w:spacing w:after="0" w:line="260"/>
              <w:jc w:val="center"/>
            </w:pPr>
            <w:r>
              <w:rPr>
                <w:rFonts w:ascii="Meiryo" w:cs="Meiryo" w:eastAsia="Meiryo" w:hAnsi="Meiryo"/>
                <w:b/>
                <w:bCs/>
                <w:color w:val="FFFFFF"/>
                <w:sz w:val="20"/>
                <w:szCs w:val="20"/>
              </w:rPr>
              <w:t xml:space="preserve">シート</w:t>
            </w:r>
          </w:p>
        </w:tc>
        <w:tc>
          <w:tcPr>
            <w:tcW w:type="dxa" w:w="1500"/>
            <w:shd w:fill="2E3A59" w:color="auto" w:val="clear"/>
            <w:tcMar>
              <w:top w:type="dxa" w:w="80"/>
              <w:left w:type="dxa" w:w="120"/>
              <w:bottom w:type="dxa" w:w="80"/>
              <w:right w:type="dxa" w:w="120"/>
            </w:tcMar>
          </w:tcPr>
          <w:p>
            <w:pPr>
              <w:spacing w:after="0" w:line="260"/>
              <w:jc w:val="center"/>
            </w:pPr>
            <w:r>
              <w:rPr>
                <w:rFonts w:ascii="Meiryo" w:cs="Meiryo" w:eastAsia="Meiryo" w:hAnsi="Meiryo"/>
                <w:b/>
                <w:bCs/>
                <w:color w:val="FFFFFF"/>
                <w:sz w:val="20"/>
                <w:szCs w:val="20"/>
              </w:rPr>
              <w:t xml:space="preserve">対応手順</w:t>
            </w:r>
          </w:p>
        </w:tc>
        <w:tc>
          <w:tcPr>
            <w:tcW w:type="dxa" w:w="4738"/>
            <w:shd w:fill="2E3A59" w:color="auto" w:val="clear"/>
            <w:tcMar>
              <w:top w:type="dxa" w:w="80"/>
              <w:left w:type="dxa" w:w="120"/>
              <w:bottom w:type="dxa" w:w="80"/>
              <w:right w:type="dxa" w:w="120"/>
            </w:tcMar>
          </w:tcPr>
          <w:p>
            <w:pPr>
              <w:spacing w:after="0" w:line="260"/>
              <w:jc w:val="center"/>
            </w:pPr>
            <w:r>
              <w:rPr>
                <w:rFonts w:ascii="Meiryo" w:cs="Meiryo" w:eastAsia="Meiryo" w:hAnsi="Meiryo"/>
                <w:b/>
                <w:bCs/>
                <w:color w:val="FFFFFF"/>
                <w:sz w:val="20"/>
                <w:szCs w:val="20"/>
              </w:rPr>
              <w:t xml:space="preserve">内容</w:t>
            </w:r>
          </w:p>
        </w:tc>
      </w:tr>
      <w:tr>
        <w:tc>
          <w:tcPr>
            <w:tcW w:type="dxa" w:w="34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01_試料マスタ</w:t>
            </w:r>
          </w:p>
        </w:tc>
        <w:tc>
          <w:tcPr>
            <w:tcW w:type="dxa" w:w="15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6.1</w:t>
            </w:r>
          </w:p>
        </w:tc>
        <w:tc>
          <w:tcPr>
            <w:tcW w:type="dxa" w:w="4738"/>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供試試料の台帳。最初に登録する</w:t>
            </w:r>
          </w:p>
        </w:tc>
      </w:tr>
      <w:tr>
        <w:tc>
          <w:tcPr>
            <w:tcW w:type="dxa" w:w="34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02_偏向角_記録</w:t>
            </w:r>
          </w:p>
        </w:tc>
        <w:tc>
          <w:tcPr>
            <w:tcW w:type="dxa" w:w="15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手順A</w:t>
            </w:r>
          </w:p>
        </w:tc>
        <w:tc>
          <w:tcPr>
            <w:tcW w:type="dxa" w:w="47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偏向角の生データ。磁気力と45°判定は自動</w:t>
            </w:r>
          </w:p>
        </w:tc>
      </w:tr>
      <w:tr>
        <w:tc>
          <w:tcPr>
            <w:tcW w:type="dxa" w:w="34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03_偏向角_集計</w:t>
            </w:r>
          </w:p>
        </w:tc>
        <w:tc>
          <w:tcPr>
            <w:tcW w:type="dxa" w:w="15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手順A</w:t>
            </w:r>
          </w:p>
        </w:tc>
        <w:tc>
          <w:tcPr>
            <w:tcW w:type="dxa" w:w="4738"/>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試料×装置の集計。入力不要</w:t>
            </w:r>
          </w:p>
        </w:tc>
      </w:tr>
      <w:tr>
        <w:tc>
          <w:tcPr>
            <w:tcW w:type="dxa" w:w="34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04_アーチファクト_記録</w:t>
            </w:r>
          </w:p>
        </w:tc>
        <w:tc>
          <w:tcPr>
            <w:tcW w:type="dxa" w:w="15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手順B・D</w:t>
            </w:r>
          </w:p>
        </w:tc>
        <w:tc>
          <w:tcPr>
            <w:tcW w:type="dxa" w:w="47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撮影条件と計測値</w:t>
            </w:r>
          </w:p>
        </w:tc>
      </w:tr>
      <w:tr>
        <w:tc>
          <w:tcPr>
            <w:tcW w:type="dxa" w:w="34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05_アーチファクト_集計</w:t>
            </w:r>
          </w:p>
        </w:tc>
        <w:tc>
          <w:tcPr>
            <w:tcW w:type="dxa" w:w="15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手順B</w:t>
            </w:r>
          </w:p>
        </w:tc>
        <w:tc>
          <w:tcPr>
            <w:tcW w:type="dxa" w:w="4738"/>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シーケンス別・TE別・距離別の集計。入力不要</w:t>
            </w:r>
          </w:p>
        </w:tc>
      </w:tr>
      <w:tr>
        <w:tc>
          <w:tcPr>
            <w:tcW w:type="dxa" w:w="34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06_発熱_記録</w:t>
            </w:r>
          </w:p>
        </w:tc>
        <w:tc>
          <w:tcPr>
            <w:tcW w:type="dxa" w:w="15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手順C</w:t>
            </w:r>
          </w:p>
        </w:tc>
        <w:tc>
          <w:tcPr>
            <w:tcW w:type="dxa" w:w="47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示温ラベルの変色と推定最高到達温度</w:t>
            </w:r>
          </w:p>
        </w:tc>
      </w:tr>
      <w:tr>
        <w:tc>
          <w:tcPr>
            <w:tcW w:type="dxa" w:w="34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07_延期症例</w:t>
            </w:r>
          </w:p>
        </w:tc>
        <w:tc>
          <w:tcPr>
            <w:tcW w:type="dxa" w:w="15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手順E-1</w:t>
            </w:r>
          </w:p>
        </w:tc>
        <w:tc>
          <w:tcPr>
            <w:tcW w:type="dxa" w:w="4738"/>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後ろ向き調査の生データ</w:t>
            </w:r>
          </w:p>
        </w:tc>
      </w:tr>
      <w:tr>
        <w:tc>
          <w:tcPr>
            <w:tcW w:type="dxa" w:w="34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08_延期集計</w:t>
            </w:r>
          </w:p>
        </w:tc>
        <w:tc>
          <w:tcPr>
            <w:tcW w:type="dxa" w:w="15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手順E-1</w:t>
            </w:r>
          </w:p>
        </w:tc>
        <w:tc>
          <w:tcPr>
            <w:tcW w:type="dxa" w:w="47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延期率・日数・部位別内訳。入力不要</w:t>
            </w:r>
          </w:p>
        </w:tc>
      </w:tr>
      <w:tr>
        <w:tc>
          <w:tcPr>
            <w:tcW w:type="dxa" w:w="34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09_スクリーニング検証</w:t>
            </w:r>
          </w:p>
        </w:tc>
        <w:tc>
          <w:tcPr>
            <w:tcW w:type="dxa" w:w="15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手順E-3</w:t>
            </w:r>
          </w:p>
        </w:tc>
        <w:tc>
          <w:tcPr>
            <w:tcW w:type="dxa" w:w="4738"/>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2×2表と感度・特異度。入力不要</w:t>
            </w:r>
          </w:p>
        </w:tc>
      </w:tr>
      <w:tr>
        <w:tc>
          <w:tcPr>
            <w:tcW w:type="dxa" w:w="34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10_撮影ログ</w:t>
            </w:r>
          </w:p>
        </w:tc>
        <w:tc>
          <w:tcPr>
            <w:tcW w:type="dxa" w:w="15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第16章</w:t>
            </w:r>
          </w:p>
        </w:tc>
        <w:tc>
          <w:tcPr>
            <w:tcW w:type="dxa" w:w="47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実施記録</w:t>
            </w:r>
          </w:p>
        </w:tc>
      </w:tr>
      <w:tr>
        <w:tc>
          <w:tcPr>
            <w:tcW w:type="dxa" w:w="34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11_安全チェックリスト</w:t>
            </w:r>
          </w:p>
        </w:tc>
        <w:tc>
          <w:tcPr>
            <w:tcW w:type="dxa" w:w="1500"/>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第3・16章</w:t>
            </w:r>
          </w:p>
        </w:tc>
        <w:tc>
          <w:tcPr>
            <w:tcW w:type="dxa" w:w="4738"/>
            <w:shd w:fill="F2F4F8" w:color="auto" w:val="clear"/>
            <w:tcMar>
              <w:top w:type="dxa" w:w="80"/>
              <w:left w:type="dxa" w:w="120"/>
              <w:bottom w:type="dxa" w:w="80"/>
              <w:right w:type="dxa" w:w="120"/>
            </w:tcMar>
          </w:tcPr>
          <w:p>
            <w:pPr>
              <w:spacing w:after="0" w:line="260"/>
            </w:pPr>
            <w:r>
              <w:rPr>
                <w:rFonts w:ascii="Meiryo" w:cs="Meiryo" w:eastAsia="Meiryo" w:hAnsi="Meiryo"/>
                <w:color w:val="1F2430"/>
                <w:sz w:val="20"/>
                <w:szCs w:val="20"/>
              </w:rPr>
              <w:t xml:space="preserve">実施前後の確認</w:t>
            </w:r>
          </w:p>
        </w:tc>
      </w:tr>
    </w:tbl>
    <w:p>
      <w:pPr>
        <w:pStyle w:val="Heading1"/>
        <w:spacing w:after="160" w:before="320"/>
      </w:pPr>
      <w:r>
        <w:rPr>
          <w:rFonts w:ascii="Meiryo" w:cs="Meiryo" w:eastAsia="Meiryo" w:hAnsi="Meiryo"/>
          <w:b/>
          <w:bCs/>
          <w:color w:val="0F1626"/>
          <w:sz w:val="26"/>
          <w:szCs w:val="26"/>
        </w:rPr>
        <w:t xml:space="preserve">18　改訂履歴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838"/>
        <w:gridCol w:w="1800"/>
      </w:tblGrid>
      <w:tr>
        <w:trPr>
          <w:tblHeader/>
        </w:trPr>
        <w:tc>
          <w:tcPr>
            <w:tcW w:type="dxa" w:w="1200"/>
            <w:shd w:fill="2E3A59" w:color="auto" w:val="clear"/>
            <w:tcMar>
              <w:top w:type="dxa" w:w="80"/>
              <w:left w:type="dxa" w:w="120"/>
              <w:bottom w:type="dxa" w:w="80"/>
              <w:right w:type="dxa" w:w="120"/>
            </w:tcMar>
          </w:tcPr>
          <w:p>
            <w:pPr>
              <w:spacing w:after="0" w:line="260"/>
              <w:jc w:val="center"/>
            </w:pPr>
            <w:r>
              <w:rPr>
                <w:rFonts w:ascii="Meiryo" w:cs="Meiryo" w:eastAsia="Meiryo" w:hAnsi="Meiryo"/>
                <w:b/>
                <w:bCs/>
                <w:color w:val="FFFFFF"/>
                <w:sz w:val="20"/>
                <w:szCs w:val="20"/>
              </w:rPr>
              <w:t xml:space="preserve">版数</w:t>
            </w:r>
          </w:p>
        </w:tc>
        <w:tc>
          <w:tcPr>
            <w:tcW w:type="dxa" w:w="1800"/>
            <w:shd w:fill="2E3A59" w:color="auto" w:val="clear"/>
            <w:tcMar>
              <w:top w:type="dxa" w:w="80"/>
              <w:left w:type="dxa" w:w="120"/>
              <w:bottom w:type="dxa" w:w="80"/>
              <w:right w:type="dxa" w:w="120"/>
            </w:tcMar>
          </w:tcPr>
          <w:p>
            <w:pPr>
              <w:spacing w:after="0" w:line="260"/>
              <w:jc w:val="center"/>
            </w:pPr>
            <w:r>
              <w:rPr>
                <w:rFonts w:ascii="Meiryo" w:cs="Meiryo" w:eastAsia="Meiryo" w:hAnsi="Meiryo"/>
                <w:b/>
                <w:bCs/>
                <w:color w:val="FFFFFF"/>
                <w:sz w:val="20"/>
                <w:szCs w:val="20"/>
              </w:rPr>
              <w:t xml:space="preserve">改訂日</w:t>
            </w:r>
          </w:p>
        </w:tc>
        <w:tc>
          <w:tcPr>
            <w:tcW w:type="dxa" w:w="4838"/>
            <w:shd w:fill="2E3A59" w:color="auto" w:val="clear"/>
            <w:tcMar>
              <w:top w:type="dxa" w:w="80"/>
              <w:left w:type="dxa" w:w="120"/>
              <w:bottom w:type="dxa" w:w="80"/>
              <w:right w:type="dxa" w:w="120"/>
            </w:tcMar>
          </w:tcPr>
          <w:p>
            <w:pPr>
              <w:spacing w:after="0" w:line="260"/>
              <w:jc w:val="center"/>
            </w:pPr>
            <w:r>
              <w:rPr>
                <w:rFonts w:ascii="Meiryo" w:cs="Meiryo" w:eastAsia="Meiryo" w:hAnsi="Meiryo"/>
                <w:b/>
                <w:bCs/>
                <w:color w:val="FFFFFF"/>
                <w:sz w:val="20"/>
                <w:szCs w:val="20"/>
              </w:rPr>
              <w:t xml:space="preserve">改訂内容</w:t>
            </w:r>
          </w:p>
        </w:tc>
        <w:tc>
          <w:tcPr>
            <w:tcW w:type="dxa" w:w="1800"/>
            <w:shd w:fill="2E3A59" w:color="auto" w:val="clear"/>
            <w:tcMar>
              <w:top w:type="dxa" w:w="80"/>
              <w:left w:type="dxa" w:w="120"/>
              <w:bottom w:type="dxa" w:w="80"/>
              <w:right w:type="dxa" w:w="120"/>
            </w:tcMar>
          </w:tcPr>
          <w:p>
            <w:pPr>
              <w:spacing w:after="0" w:line="260"/>
              <w:jc w:val="center"/>
            </w:pPr>
            <w:r>
              <w:rPr>
                <w:rFonts w:ascii="Meiryo" w:cs="Meiryo" w:eastAsia="Meiryo" w:hAnsi="Meiryo"/>
                <w:b/>
                <w:bCs/>
                <w:color w:val="FFFFFF"/>
                <w:sz w:val="20"/>
                <w:szCs w:val="20"/>
              </w:rPr>
              <w:t xml:space="preserve">承認者</w:t>
            </w:r>
          </w:p>
        </w:tc>
      </w:tr>
      <w:tr>
        <w:tc>
          <w:tcPr>
            <w:tcW w:type="dxa" w:w="1200"/>
            <w:tcMar>
              <w:top w:type="dxa" w:w="80"/>
              <w:left w:type="dxa" w:w="120"/>
              <w:bottom w:type="dxa" w:w="80"/>
              <w:right w:type="dxa" w:w="120"/>
            </w:tcMar>
          </w:tcPr>
          <w:p>
            <w:pPr>
              <w:spacing w:after="0" w:line="260"/>
              <w:jc w:val="center"/>
            </w:pPr>
            <w:r>
              <w:rPr>
                <w:rFonts w:ascii="Meiryo" w:cs="Meiryo" w:eastAsia="Meiryo" w:hAnsi="Meiryo"/>
                <w:color w:val="1F2430"/>
                <w:sz w:val="20"/>
                <w:szCs w:val="20"/>
              </w:rPr>
              <w:t xml:space="preserve">1.0</w:t>
            </w:r>
          </w:p>
        </w:tc>
        <w:tc>
          <w:tcPr>
            <w:tcW w:type="dxa" w:w="18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
            </w:r>
          </w:p>
        </w:tc>
        <w:tc>
          <w:tcPr>
            <w:tcW w:type="dxa" w:w="48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初版</w:t>
            </w:r>
          </w:p>
        </w:tc>
        <w:tc>
          <w:tcPr>
            <w:tcW w:type="dxa" w:w="18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
            </w:r>
          </w:p>
        </w:tc>
      </w:tr>
      <w:tr>
        <w:tc>
          <w:tcPr>
            <w:tcW w:type="dxa" w:w="12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
            </w:r>
          </w:p>
        </w:tc>
        <w:tc>
          <w:tcPr>
            <w:tcW w:type="dxa" w:w="18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
            </w:r>
          </w:p>
        </w:tc>
        <w:tc>
          <w:tcPr>
            <w:tcW w:type="dxa" w:w="48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
            </w:r>
          </w:p>
        </w:tc>
        <w:tc>
          <w:tcPr>
            <w:tcW w:type="dxa" w:w="18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
            </w:r>
          </w:p>
        </w:tc>
      </w:tr>
      <w:tr>
        <w:tc>
          <w:tcPr>
            <w:tcW w:type="dxa" w:w="12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
            </w:r>
          </w:p>
        </w:tc>
        <w:tc>
          <w:tcPr>
            <w:tcW w:type="dxa" w:w="18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
            </w:r>
          </w:p>
        </w:tc>
        <w:tc>
          <w:tcPr>
            <w:tcW w:type="dxa" w:w="48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
            </w:r>
          </w:p>
        </w:tc>
        <w:tc>
          <w:tcPr>
            <w:tcW w:type="dxa" w:w="18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
            </w:r>
          </w:p>
        </w:tc>
      </w:tr>
      <w:tr>
        <w:tc>
          <w:tcPr>
            <w:tcW w:type="dxa" w:w="12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
            </w:r>
          </w:p>
        </w:tc>
        <w:tc>
          <w:tcPr>
            <w:tcW w:type="dxa" w:w="18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
            </w:r>
          </w:p>
        </w:tc>
        <w:tc>
          <w:tcPr>
            <w:tcW w:type="dxa" w:w="4838"/>
            <w:tcMar>
              <w:top w:type="dxa" w:w="80"/>
              <w:left w:type="dxa" w:w="120"/>
              <w:bottom w:type="dxa" w:w="80"/>
              <w:right w:type="dxa" w:w="120"/>
            </w:tcMar>
          </w:tcPr>
          <w:p>
            <w:pPr>
              <w:spacing w:after="0" w:line="260"/>
            </w:pPr>
            <w:r>
              <w:rPr>
                <w:rFonts w:ascii="Meiryo" w:cs="Meiryo" w:eastAsia="Meiryo" w:hAnsi="Meiryo"/>
                <w:color w:val="1F2430"/>
                <w:sz w:val="20"/>
                <w:szCs w:val="20"/>
              </w:rPr>
              <w:t xml:space="preserve"/>
            </w:r>
          </w:p>
        </w:tc>
        <w:tc>
          <w:tcPr>
            <w:tcW w:type="dxa" w:w="1800"/>
            <w:tcMar>
              <w:top w:type="dxa" w:w="80"/>
              <w:left w:type="dxa" w:w="120"/>
              <w:bottom w:type="dxa" w:w="80"/>
              <w:right w:type="dxa" w:w="120"/>
            </w:tcMar>
          </w:tcPr>
          <w:p>
            <w:pPr>
              <w:spacing w:after="0" w:line="260"/>
            </w:pPr>
            <w:r>
              <w:rPr>
                <w:rFonts w:ascii="Meiryo" w:cs="Meiryo" w:eastAsia="Meiryo" w:hAnsi="Meiryo"/>
                <w:color w:val="1F2430"/>
                <w:sz w:val="20"/>
                <w:szCs w:val="20"/>
              </w:rPr>
              <w:t xml:space="preserve"/>
            </w:r>
          </w:p>
        </w:tc>
      </w:tr>
    </w:tbl>
    <w:p>
      <w:pPr>
        <w:spacing w:after="200"/>
      </w:pPr>
    </w:p>
    <w:p>
      <w:pPr>
        <w:spacing w:after="100" w:before="0" w:line="280"/>
      </w:pPr>
      <w:r>
        <w:rPr>
          <w:rFonts w:ascii="Meiryo" w:cs="Meiryo" w:eastAsia="Meiryo" w:hAnsi="Meiryo"/>
          <w:color w:val="6B7280"/>
          <w:sz w:val="20"/>
          <w:szCs w:val="20"/>
        </w:rPr>
        <w:t xml:space="preserve">本手順書は、研究計画書（PRESENTATION_PLAN.md）の案A〜案F に対応する。計画を変更した場合は、本手順書も改訂し、版数を更新すること。</w:t>
      </w:r>
    </w:p>
    <w:sectPr>
      <w:headerReference w:type="default" r:id="rId7"/>
      <w:footerReference w:type="default" r:id="rId8"/>
      <w:pgSz w:w="11905" w:h="16837"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Meiryo" w:cs="Meiryo" w:eastAsia="Meiryo" w:hAnsi="Meiryo"/>
        <w:color w:val="6B7280"/>
        <w:sz w:val="16"/>
        <w:szCs w:val="16"/>
      </w:rPr>
      <w:t xml:space="preserve"/>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Meiryo" w:cs="Meiryo" w:eastAsia="Meiryo" w:hAnsi="Meiryo"/>
        <w:color w:val="6B7280"/>
        <w:sz w:val="16"/>
        <w:szCs w:val="16"/>
      </w:rPr>
      <w:t xml:space="preserve">MN-MRI-SOP-001　第1.0版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60" w:hanging="320"/>
      </w:pPr>
    </w:lvl>
  </w:abstractNum>
  <w:abstractNum w:abstractNumId="4" w15:restartNumberingAfterBreak="0">
    <w:multiLevelType w:val="hybridMultilevel"/>
    <w:lvl w:ilvl="0" w15:tentative="1">
      <w:start w:val="1"/>
      <w:numFmt w:val="decimal"/>
      <w:lvlText w:val="%1."/>
      <w:lvlJc w:val="left"/>
      <w:pPr>
        <w:ind w:left="460" w:hanging="320"/>
      </w:pPr>
    </w:lvl>
  </w:abstractNum>
  <w:abstractNum w:abstractNumId="5" w15:restartNumberingAfterBreak="0">
    <w:multiLevelType w:val="hybridMultilevel"/>
    <w:lvl w:ilvl="0" w15:tentative="1">
      <w:start w:val="1"/>
      <w:numFmt w:val="decimal"/>
      <w:lvlText w:val="%1."/>
      <w:lvlJc w:val="left"/>
      <w:pPr>
        <w:ind w:left="460" w:hanging="320"/>
      </w:pPr>
    </w:lvl>
  </w:abstractNum>
  <w:abstractNum w:abstractNumId="6" w15:restartNumberingAfterBreak="0">
    <w:multiLevelType w:val="hybridMultilevel"/>
    <w:lvl w:ilvl="0" w15:tentative="1">
      <w:start w:val="1"/>
      <w:numFmt w:val="decimal"/>
      <w:lvlText w:val="%1."/>
      <w:lvlJc w:val="left"/>
      <w:pPr>
        <w:ind w:left="460" w:hanging="320"/>
      </w:pPr>
    </w:lvl>
  </w:abstractNum>
  <w:abstractNum w:abstractNumId="7" w15:restartNumberingAfterBreak="0">
    <w:multiLevelType w:val="hybridMultilevel"/>
    <w:lvl w:ilvl="0" w15:tentative="1">
      <w:start w:val="1"/>
      <w:numFmt w:val="decimal"/>
      <w:lvlText w:val="%1."/>
      <w:lvlJc w:val="left"/>
      <w:pPr>
        <w:ind w:left="460" w:hanging="320"/>
      </w:pPr>
    </w:lvl>
  </w:abstractNum>
  <w:abstractNum w:abstractNumId="8" w15:restartNumberingAfterBreak="0">
    <w:multiLevelType w:val="hybridMultilevel"/>
    <w:lvl w:ilvl="0" w15:tentative="1">
      <w:start w:val="1"/>
      <w:numFmt w:val="decimal"/>
      <w:lvlText w:val="%1."/>
      <w:lvlJc w:val="left"/>
      <w:pPr>
        <w:ind w:left="460" w:hanging="320"/>
      </w:pPr>
    </w:lvl>
  </w:abstractNum>
  <w:abstractNum w:abstractNumId="9" w15:restartNumberingAfterBreak="0">
    <w:multiLevelType w:val="hybridMultilevel"/>
    <w:lvl w:ilvl="0" w15:tentative="1">
      <w:start w:val="1"/>
      <w:numFmt w:val="decimal"/>
      <w:lvlText w:val="%1."/>
      <w:lvlJc w:val="left"/>
      <w:pPr>
        <w:ind w:left="460" w:hanging="320"/>
      </w:pPr>
    </w:lvl>
  </w:abstractNum>
  <w:abstractNum w:abstractNumId="10" w15:restartNumberingAfterBreak="0">
    <w:multiLevelType w:val="hybridMultilevel"/>
    <w:lvl w:ilvl="0" w15:tentative="1">
      <w:start w:val="1"/>
      <w:numFmt w:val="decimal"/>
      <w:lvlText w:val="%1."/>
      <w:lvlJc w:val="left"/>
      <w:pPr>
        <w:ind w:left="460" w:hanging="320"/>
      </w:pPr>
    </w:lvl>
  </w:abstractNum>
  <w:abstractNum w:abstractNumId="11"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color w:val="1F2430"/>
        <w:sz w:val="21"/>
        <w:szCs w:val="21"/>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Meiryo" w:cs="Meiryo" w:eastAsia="Meiryo" w:hAnsi="Meiryo"/>
      <w:b/>
      <w:bCs/>
      <w:color w:val="0F1626"/>
      <w:sz w:val="26"/>
      <w:szCs w:val="26"/>
    </w:rPr>
  </w:style>
  <w:style w:type="paragraph" w:styleId="Heading2">
    <w:name w:val="Heading 2"/>
    <w:basedOn w:val="Normal"/>
    <w:next w:val="Normal"/>
    <w:qFormat/>
    <w:rPr>
      <w:rFonts w:ascii="Meiryo" w:cs="Meiryo" w:eastAsia="Meiryo" w:hAnsi="Meiryo"/>
      <w:b/>
      <w:bCs/>
      <w:color w:val="1B9AAA"/>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2026-09-16T05:40:29.657Z</dcterms:created>
  <dcterms:modified xsi:type="dcterms:W3CDTF">2026-09-16T05:40:29.657Z</dcterms:modified>
</cp:coreProperties>
</file>

<file path=docProps/custom.xml><?xml version="1.0" encoding="utf-8"?>
<Properties xmlns="http://schemas.openxmlformats.org/officeDocument/2006/custom-properties" xmlns:vt="http://schemas.openxmlformats.org/officeDocument/2006/docPropsVTypes"/>
</file>