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A365D"/>
          <w:sz w:val="36"/>
        </w:rPr>
        <w:t>6-Month Deployment Plan</w:t>
      </w:r>
    </w:p>
    <w:p>
      <w:pPr>
        <w:spacing w:before="0" w:after="40"/>
      </w:pPr>
      <w:r>
        <w:rPr>
          <w:color w:val="2B6CB0"/>
          <w:sz w:val="22"/>
        </w:rPr>
        <w:t>Ngui Sui Fen  ·  Aggressive Portfolio  ·  April – September 2026</w:t>
      </w:r>
    </w:p>
    <w:p>
      <w:pPr>
        <w:spacing w:before="0" w:after="200"/>
      </w:pPr>
      <w:r>
        <w:rPr>
          <w:color w:val="718096"/>
          <w:sz w:val="18"/>
        </w:rPr>
        <w:t>Total capital: RM 30,000 (existing PeCDF-A balance)  ·  Prepared by Shoo Kyuk Wei (Solid), Public Mutual Berhad</w:t>
      </w:r>
    </w:p>
    <w:p>
      <w:pPr>
        <w:spacing w:before="80" w:after="80"/>
      </w:pPr>
      <w:r>
        <w:rPr>
          <w:b/>
          <w:color w:val="1A365D"/>
          <w:sz w:val="24"/>
        </w:rPr>
        <w:t>Overview</w:t>
      </w:r>
    </w:p>
    <w:p>
      <w:pPr>
        <w:spacing w:before="40" w:after="40"/>
      </w:pPr>
      <w:r>
        <w:rPr>
          <w:sz w:val="21"/>
        </w:rPr>
        <w:t>The client holds RM 30,000 in PeCDF-A. Rather than deploying everything at once — PIATAF and PISTF are currently at all-time highs — capital is switched into the target funds in 6 equal monthly tranches over April through September 2026.</w:t>
      </w:r>
    </w:p>
    <w:p>
      <w:pPr>
        <w:spacing w:after="40"/>
      </w:pPr>
    </w:p>
    <w:p>
      <w:pPr>
        <w:spacing w:before="40" w:after="40"/>
      </w:pPr>
      <w:r>
        <w:rPr>
          <w:sz w:val="21"/>
        </w:rPr>
        <w:t>RM 3,600 (12%) remains in PeCDF-A as the permanent tactical reserve for dip capture. The remaining RM 26,400 (88%) is deployed proportionally across the four target funds at RM 4,400/month.</w:t>
      </w:r>
    </w:p>
    <w:p>
      <w:pPr>
        <w:spacing w:before="200" w:after="80"/>
      </w:pPr>
      <w:r>
        <w:rPr>
          <w:b/>
          <w:color w:val="1A365D"/>
          <w:sz w:val="22"/>
        </w:rPr>
        <w:t>Target Allocation (End State at Month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Fund</w:t>
            </w:r>
          </w:p>
        </w:tc>
        <w:tc>
          <w:tcPr>
            <w:tcW w:type="dxa" w:w="1020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Alloc %</w:t>
            </w:r>
          </w:p>
        </w:tc>
        <w:tc>
          <w:tcPr>
            <w:tcW w:type="dxa" w:w="1474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Target (RM)</w:t>
            </w:r>
          </w:p>
        </w:tc>
        <w:tc>
          <w:tcPr>
            <w:tcW w:type="dxa" w:w="1814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Monthly Switch (RM)</w:t>
            </w:r>
          </w:p>
        </w:tc>
        <w:tc>
          <w:tcPr>
            <w:tcW w:type="dxa" w:w="2721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9"/>
              </w:rPr>
              <w:t>PIATAF</w:t>
            </w:r>
          </w:p>
        </w:tc>
        <w:tc>
          <w:tcPr>
            <w:tcW w:type="dxa" w:w="1020"/>
            <w:vAlign w:val="center"/>
          </w:tcPr>
          <w:p>
            <w:r>
              <w:rPr>
                <w:sz w:val="19"/>
              </w:rPr>
              <w:t>45%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  <w:t>13,500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9"/>
              </w:rPr>
              <w:t>2,250</w:t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  <w:t>Core growth engine</w:t>
            </w:r>
          </w:p>
        </w:tc>
      </w:tr>
      <w:tr>
        <w:tc>
          <w:tcPr>
            <w:tcW w:type="dxa" w:w="1701"/>
            <w:vAlign w:val="center"/>
            <w:shd w:val="clear" w:color="auto" w:fill="f7fafc"/>
          </w:tcPr>
          <w:p>
            <w:r>
              <w:rPr>
                <w:sz w:val="19"/>
              </w:rPr>
              <w:t>PISTF</w:t>
            </w:r>
          </w:p>
        </w:tc>
        <w:tc>
          <w:tcPr>
            <w:tcW w:type="dxa" w:w="1020"/>
            <w:vAlign w:val="center"/>
            <w:shd w:val="clear" w:color="auto" w:fill="f7fafc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1474"/>
            <w:vAlign w:val="center"/>
            <w:shd w:val="clear" w:color="auto" w:fill="f7fafc"/>
          </w:tcPr>
          <w:p>
            <w:r>
              <w:rPr>
                <w:sz w:val="19"/>
              </w:rPr>
              <w:t>6,000</w:t>
            </w:r>
          </w:p>
        </w:tc>
        <w:tc>
          <w:tcPr>
            <w:tcW w:type="dxa" w:w="1814"/>
            <w:vAlign w:val="center"/>
            <w:shd w:val="clear" w:color="auto" w:fill="f7fafc"/>
          </w:tcPr>
          <w:p>
            <w:r>
              <w:rPr>
                <w:sz w:val="19"/>
              </w:rPr>
              <w:t>1,000</w:t>
            </w:r>
          </w:p>
        </w:tc>
        <w:tc>
          <w:tcPr>
            <w:tcW w:type="dxa" w:w="2721"/>
            <w:vAlign w:val="center"/>
            <w:shd w:val="clear" w:color="auto" w:fill="f7fafc"/>
          </w:tcPr>
          <w:p>
            <w:r>
              <w:rPr>
                <w:sz w:val="19"/>
              </w:rPr>
              <w:t>Malaysia anchor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9"/>
              </w:rPr>
              <w:t>PBGTHF</w:t>
            </w:r>
          </w:p>
        </w:tc>
        <w:tc>
          <w:tcPr>
            <w:tcW w:type="dxa" w:w="1020"/>
            <w:vAlign w:val="center"/>
          </w:tcPr>
          <w:p>
            <w:r>
              <w:rPr>
                <w:sz w:val="19"/>
              </w:rPr>
              <w:t>13%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  <w:t>3,900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9"/>
              </w:rPr>
              <w:t>650</w:t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  <w:t>Global diversifier</w:t>
            </w:r>
          </w:p>
        </w:tc>
      </w:tr>
      <w:tr>
        <w:tc>
          <w:tcPr>
            <w:tcW w:type="dxa" w:w="1701"/>
            <w:vAlign w:val="center"/>
            <w:shd w:val="clear" w:color="auto" w:fill="f7fafc"/>
          </w:tcPr>
          <w:p>
            <w:r>
              <w:rPr>
                <w:sz w:val="19"/>
              </w:rPr>
              <w:t>PeEMAS</w:t>
            </w:r>
          </w:p>
        </w:tc>
        <w:tc>
          <w:tcPr>
            <w:tcW w:type="dxa" w:w="1020"/>
            <w:vAlign w:val="center"/>
            <w:shd w:val="clear" w:color="auto" w:fill="f7fafc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1474"/>
            <w:vAlign w:val="center"/>
            <w:shd w:val="clear" w:color="auto" w:fill="f7fafc"/>
          </w:tcPr>
          <w:p>
            <w:r>
              <w:rPr>
                <w:sz w:val="19"/>
              </w:rPr>
              <w:t>3,000</w:t>
            </w:r>
          </w:p>
        </w:tc>
        <w:tc>
          <w:tcPr>
            <w:tcW w:type="dxa" w:w="1814"/>
            <w:vAlign w:val="center"/>
            <w:shd w:val="clear" w:color="auto" w:fill="f7fafc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2721"/>
            <w:vAlign w:val="center"/>
            <w:shd w:val="clear" w:color="auto" w:fill="f7fafc"/>
          </w:tcPr>
          <w:p>
            <w:r>
              <w:rPr>
                <w:sz w:val="19"/>
              </w:rPr>
              <w:t>Gold hedge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9"/>
              </w:rPr>
              <w:t>PeCDF-A</w:t>
            </w:r>
          </w:p>
        </w:tc>
        <w:tc>
          <w:tcPr>
            <w:tcW w:type="dxa" w:w="1020"/>
            <w:vAlign w:val="center"/>
          </w:tcPr>
          <w:p>
            <w:r>
              <w:rPr>
                <w:sz w:val="19"/>
              </w:rPr>
              <w:t>12%</w:t>
            </w:r>
          </w:p>
        </w:tc>
        <w:tc>
          <w:tcPr>
            <w:tcW w:type="dxa" w:w="1474"/>
            <w:vAlign w:val="center"/>
          </w:tcPr>
          <w:p>
            <w:r>
              <w:rPr>
                <w:sz w:val="19"/>
              </w:rPr>
              <w:t>3,600</w:t>
            </w:r>
          </w:p>
        </w:tc>
        <w:tc>
          <w:tcPr>
            <w:tcW w:type="dxa" w:w="1814"/>
            <w:vAlign w:val="center"/>
          </w:tcPr>
          <w:p>
            <w:r>
              <w:rPr>
                <w:sz w:val="19"/>
              </w:rPr>
              <w:t>— (keep)</w:t>
            </w:r>
          </w:p>
        </w:tc>
        <w:tc>
          <w:tcPr>
            <w:tcW w:type="dxa" w:w="2721"/>
            <w:vAlign w:val="center"/>
          </w:tcPr>
          <w:p>
            <w:r>
              <w:rPr>
                <w:sz w:val="19"/>
              </w:rPr>
              <w:t>Tactical dry powder</w:t>
            </w:r>
          </w:p>
        </w:tc>
      </w:tr>
      <w:tr>
        <w:tc>
          <w:tcPr>
            <w:tcW w:type="dxa" w:w="1701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1020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100%</w:t>
            </w:r>
          </w:p>
        </w:tc>
        <w:tc>
          <w:tcPr>
            <w:tcW w:type="dxa" w:w="1474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30,000</w:t>
            </w:r>
          </w:p>
        </w:tc>
        <w:tc>
          <w:tcPr>
            <w:tcW w:type="dxa" w:w="1814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4,400 × 6</w:t>
            </w:r>
          </w:p>
        </w:tc>
        <w:tc>
          <w:tcPr>
            <w:tcW w:type="dxa" w:w="2721"/>
            <w:vAlign w:val="center"/>
            <w:shd w:val="clear" w:color="auto" w:fill="ebf8ff"/>
          </w:tcPr>
          <w:p>
            <w:r>
              <w:rPr>
                <w:b/>
                <w:sz w:val="19"/>
              </w:rPr>
            </w:r>
          </w:p>
        </w:tc>
      </w:tr>
    </w:tbl>
    <w:p>
      <w:pPr>
        <w:spacing w:before="280" w:after="80"/>
      </w:pPr>
      <w:r>
        <w:rPr>
          <w:b/>
          <w:color w:val="1A365D"/>
          <w:sz w:val="22"/>
        </w:rPr>
        <w:t>Month-by-Month Switch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top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Month</w:t>
            </w:r>
          </w:p>
        </w:tc>
        <w:tc>
          <w:tcPr>
            <w:tcW w:type="dxa" w:w="5102"/>
            <w:vAlign w:val="top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814"/>
            <w:vAlign w:val="top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PeCDF-A Balance After (RM)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sz w:val="19"/>
              </w:rPr>
              <w:t>April 2026</w:t>
            </w:r>
          </w:p>
        </w:tc>
        <w:tc>
          <w:tcPr>
            <w:tcW w:type="dxa" w:w="5102"/>
            <w:vAlign w:val="top"/>
          </w:tcPr>
          <w:p>
            <w:r>
              <w:rPr>
                <w:sz w:val="19"/>
              </w:rPr>
              <w:t>Switch RM 4,400 from PeCDF-A into target funds (see breakdown below). First tranche — full deployment regardless of NAV.</w:t>
            </w:r>
          </w:p>
        </w:tc>
        <w:tc>
          <w:tcPr>
            <w:tcW w:type="dxa" w:w="1814"/>
            <w:vAlign w:val="top"/>
          </w:tcPr>
          <w:p>
            <w:r>
              <w:rPr>
                <w:sz w:val="19"/>
              </w:rPr>
              <w:t>RM 25,600</w:t>
            </w:r>
          </w:p>
        </w:tc>
      </w:tr>
      <w:tr>
        <w:tc>
          <w:tcPr>
            <w:tcW w:type="dxa" w:w="1814"/>
            <w:vAlign w:val="top"/>
            <w:shd w:val="clear" w:color="auto" w:fill="f7fafc"/>
          </w:tcPr>
          <w:p>
            <w:r>
              <w:rPr>
                <w:sz w:val="19"/>
              </w:rPr>
              <w:t>May 2026</w:t>
            </w:r>
          </w:p>
        </w:tc>
        <w:tc>
          <w:tcPr>
            <w:tcW w:type="dxa" w:w="5102"/>
            <w:vAlign w:val="top"/>
            <w:shd w:val="clear" w:color="auto" w:fill="f7fafc"/>
          </w:tcPr>
          <w:p>
            <w:r>
              <w:rPr>
                <w:sz w:val="19"/>
              </w:rPr>
              <w:t>Switch RM 4,400 from PeCDF-A. Check PIATAF and PISTF drawdown before switching — if either is down ≥5% from April NAV, deploy that tranche first; hold the rest 2 weeks.</w:t>
            </w:r>
          </w:p>
        </w:tc>
        <w:tc>
          <w:tcPr>
            <w:tcW w:type="dxa" w:w="1814"/>
            <w:vAlign w:val="top"/>
            <w:shd w:val="clear" w:color="auto" w:fill="f7fafc"/>
          </w:tcPr>
          <w:p>
            <w:r>
              <w:rPr>
                <w:sz w:val="19"/>
              </w:rPr>
              <w:t>RM 21,200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sz w:val="19"/>
              </w:rPr>
              <w:t>June 2026</w:t>
            </w:r>
          </w:p>
        </w:tc>
        <w:tc>
          <w:tcPr>
            <w:tcW w:type="dxa" w:w="5102"/>
            <w:vAlign w:val="top"/>
          </w:tcPr>
          <w:p>
            <w:r>
              <w:rPr>
                <w:sz w:val="19"/>
              </w:rPr>
              <w:t>Switch RM 4,400 from PeCDF-A. Mid-point check: verify portfolio is on track. Review any ATH drawdown triggers.</w:t>
            </w:r>
          </w:p>
        </w:tc>
        <w:tc>
          <w:tcPr>
            <w:tcW w:type="dxa" w:w="1814"/>
            <w:vAlign w:val="top"/>
          </w:tcPr>
          <w:p>
            <w:r>
              <w:rPr>
                <w:sz w:val="19"/>
              </w:rPr>
              <w:t>RM 16,800</w:t>
            </w:r>
          </w:p>
        </w:tc>
      </w:tr>
      <w:tr>
        <w:tc>
          <w:tcPr>
            <w:tcW w:type="dxa" w:w="1814"/>
            <w:vAlign w:val="top"/>
            <w:shd w:val="clear" w:color="auto" w:fill="f7fafc"/>
          </w:tcPr>
          <w:p>
            <w:r>
              <w:rPr>
                <w:sz w:val="19"/>
              </w:rPr>
              <w:t>July 2026</w:t>
            </w:r>
          </w:p>
        </w:tc>
        <w:tc>
          <w:tcPr>
            <w:tcW w:type="dxa" w:w="5102"/>
            <w:vAlign w:val="top"/>
            <w:shd w:val="clear" w:color="auto" w:fill="f7fafc"/>
          </w:tcPr>
          <w:p>
            <w:r>
              <w:rPr>
                <w:sz w:val="19"/>
              </w:rPr>
              <w:t>Switch RM 4,400 from PeCDF-A. No change to fund allocation unless a dip trigger fires (≥10% drawdown from ATH → deploy ahead of schedule into that fund).</w:t>
            </w:r>
          </w:p>
        </w:tc>
        <w:tc>
          <w:tcPr>
            <w:tcW w:type="dxa" w:w="1814"/>
            <w:vAlign w:val="top"/>
            <w:shd w:val="clear" w:color="auto" w:fill="f7fafc"/>
          </w:tcPr>
          <w:p>
            <w:r>
              <w:rPr>
                <w:sz w:val="19"/>
              </w:rPr>
              <w:t>RM 12,400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sz w:val="19"/>
              </w:rPr>
              <w:t>August 2026</w:t>
            </w:r>
          </w:p>
        </w:tc>
        <w:tc>
          <w:tcPr>
            <w:tcW w:type="dxa" w:w="5102"/>
            <w:vAlign w:val="top"/>
          </w:tcPr>
          <w:p>
            <w:r>
              <w:rPr>
                <w:sz w:val="19"/>
              </w:rPr>
              <w:t>Switch RM 4,400 from PeCDF-A.</w:t>
            </w:r>
          </w:p>
        </w:tc>
        <w:tc>
          <w:tcPr>
            <w:tcW w:type="dxa" w:w="1814"/>
            <w:vAlign w:val="top"/>
          </w:tcPr>
          <w:p>
            <w:r>
              <w:rPr>
                <w:sz w:val="19"/>
              </w:rPr>
              <w:t>RM 8,000</w:t>
            </w:r>
          </w:p>
        </w:tc>
      </w:tr>
      <w:tr>
        <w:tc>
          <w:tcPr>
            <w:tcW w:type="dxa" w:w="1814"/>
            <w:vAlign w:val="top"/>
            <w:shd w:val="clear" w:color="auto" w:fill="f7fafc"/>
          </w:tcPr>
          <w:p>
            <w:r>
              <w:rPr>
                <w:sz w:val="19"/>
              </w:rPr>
              <w:t>September 2026</w:t>
            </w:r>
          </w:p>
        </w:tc>
        <w:tc>
          <w:tcPr>
            <w:tcW w:type="dxa" w:w="5102"/>
            <w:vAlign w:val="top"/>
            <w:shd w:val="clear" w:color="auto" w:fill="f7fafc"/>
          </w:tcPr>
          <w:p>
            <w:r>
              <w:rPr>
                <w:sz w:val="19"/>
              </w:rPr>
              <w:t>Final tranche — switch remaining RM 4,400 from PeCDF-A. Full deployment complete. RM 3,600 remains as dry powder reserve.</w:t>
            </w:r>
          </w:p>
        </w:tc>
        <w:tc>
          <w:tcPr>
            <w:tcW w:type="dxa" w:w="1814"/>
            <w:vAlign w:val="top"/>
            <w:shd w:val="clear" w:color="auto" w:fill="f7fafc"/>
          </w:tcPr>
          <w:p>
            <w:r>
              <w:rPr>
                <w:sz w:val="19"/>
              </w:rPr>
              <w:t>RM 3,600</w:t>
            </w:r>
          </w:p>
        </w:tc>
      </w:tr>
    </w:tbl>
    <w:p>
      <w:pPr>
        <w:spacing w:before="280" w:after="80"/>
      </w:pPr>
      <w:r>
        <w:rPr>
          <w:b/>
          <w:color w:val="1A365D"/>
          <w:sz w:val="22"/>
        </w:rPr>
        <w:t>Per-Switch Breakdown (Each Month)</w:t>
      </w:r>
    </w:p>
    <w:p>
      <w:pPr>
        <w:spacing w:before="40" w:after="40"/>
      </w:pPr>
      <w:r>
        <w:rPr>
          <w:sz w:val="21"/>
        </w:rPr>
        <w:t>Each monthly switch of RM 4,400 from PeCDF-A is split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Fund</w:t>
            </w:r>
          </w:p>
        </w:tc>
        <w:tc>
          <w:tcPr>
            <w:tcW w:type="dxa" w:w="1984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Amount (RM)</w:t>
            </w:r>
          </w:p>
        </w:tc>
        <w:tc>
          <w:tcPr>
            <w:tcW w:type="dxa" w:w="2551"/>
            <w:vAlign w:val="center"/>
            <w:shd w:val="clear" w:color="auto" w:fill="1a365d"/>
          </w:tcPr>
          <w:p>
            <w:r>
              <w:rPr>
                <w:b/>
                <w:color w:val="FFFFFF"/>
                <w:sz w:val="19"/>
              </w:rPr>
              <w:t>Cumulative at End of 6 Months (RM)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9"/>
              </w:rPr>
              <w:t>PIATAF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2,250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9"/>
              </w:rPr>
              <w:t>13,500</w:t>
            </w:r>
          </w:p>
        </w:tc>
      </w:tr>
      <w:tr>
        <w:tc>
          <w:tcPr>
            <w:tcW w:type="dxa" w:w="1984"/>
            <w:vAlign w:val="center"/>
            <w:shd w:val="clear" w:color="auto" w:fill="f7fafc"/>
          </w:tcPr>
          <w:p>
            <w:r>
              <w:rPr>
                <w:sz w:val="19"/>
              </w:rPr>
              <w:t>PISTF</w:t>
            </w:r>
          </w:p>
        </w:tc>
        <w:tc>
          <w:tcPr>
            <w:tcW w:type="dxa" w:w="1984"/>
            <w:vAlign w:val="center"/>
            <w:shd w:val="clear" w:color="auto" w:fill="f7fafc"/>
          </w:tcPr>
          <w:p>
            <w:r>
              <w:rPr>
                <w:sz w:val="19"/>
              </w:rPr>
              <w:t>1,000</w:t>
            </w:r>
          </w:p>
        </w:tc>
        <w:tc>
          <w:tcPr>
            <w:tcW w:type="dxa" w:w="2551"/>
            <w:vAlign w:val="center"/>
            <w:shd w:val="clear" w:color="auto" w:fill="f7fafc"/>
          </w:tcPr>
          <w:p>
            <w:r>
              <w:rPr>
                <w:sz w:val="19"/>
              </w:rPr>
              <w:t>6,000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sz w:val="19"/>
              </w:rPr>
              <w:t>PBGTHF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650</w:t>
            </w:r>
          </w:p>
        </w:tc>
        <w:tc>
          <w:tcPr>
            <w:tcW w:type="dxa" w:w="2551"/>
            <w:vAlign w:val="center"/>
          </w:tcPr>
          <w:p>
            <w:r>
              <w:rPr>
                <w:sz w:val="19"/>
              </w:rPr>
              <w:t>3,900</w:t>
            </w:r>
          </w:p>
        </w:tc>
      </w:tr>
      <w:tr>
        <w:tc>
          <w:tcPr>
            <w:tcW w:type="dxa" w:w="1984"/>
            <w:vAlign w:val="center"/>
            <w:shd w:val="clear" w:color="auto" w:fill="f7fafc"/>
          </w:tcPr>
          <w:p>
            <w:r>
              <w:rPr>
                <w:sz w:val="19"/>
              </w:rPr>
              <w:t>PeEMAS</w:t>
            </w:r>
          </w:p>
        </w:tc>
        <w:tc>
          <w:tcPr>
            <w:tcW w:type="dxa" w:w="1984"/>
            <w:vAlign w:val="center"/>
            <w:shd w:val="clear" w:color="auto" w:fill="f7fafc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2551"/>
            <w:vAlign w:val="center"/>
            <w:shd w:val="clear" w:color="auto" w:fill="f7fafc"/>
          </w:tcPr>
          <w:p>
            <w:r>
              <w:rPr>
                <w:sz w:val="19"/>
              </w:rPr>
              <w:t>3,000</w:t>
            </w:r>
          </w:p>
        </w:tc>
      </w:tr>
      <w:tr>
        <w:tc>
          <w:tcPr>
            <w:tcW w:type="dxa" w:w="1984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1984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4,400</w:t>
            </w:r>
          </w:p>
        </w:tc>
        <w:tc>
          <w:tcPr>
            <w:tcW w:type="dxa" w:w="2551"/>
            <w:vAlign w:val="center"/>
            <w:shd w:val="clear" w:color="auto" w:fill="ebf8ff"/>
          </w:tcPr>
          <w:p>
            <w:r>
              <w:rPr>
                <w:b/>
                <w:sz w:val="19"/>
              </w:rPr>
              <w:t>26,400</w:t>
            </w:r>
          </w:p>
        </w:tc>
      </w:tr>
    </w:tbl>
    <w:p>
      <w:pPr>
        <w:spacing w:before="280" w:after="80"/>
      </w:pPr>
      <w:r>
        <w:rPr>
          <w:b/>
          <w:color w:val="1A365D"/>
          <w:sz w:val="22"/>
        </w:rPr>
        <w:t>Dip Capture Override</w:t>
      </w:r>
    </w:p>
    <w:p>
      <w:pPr>
        <w:spacing w:before="40" w:after="40"/>
      </w:pPr>
      <w:r>
        <w:rPr>
          <w:sz w:val="21"/>
        </w:rPr>
        <w:t>If PIATAF or PISTF drops ≥10% from ATH at any point during the 6 months:</w:t>
      </w:r>
    </w:p>
    <w:p>
      <w:pPr>
        <w:pStyle w:val="ListBullet"/>
        <w:spacing w:before="20" w:after="40"/>
      </w:pPr>
      <w:r>
        <w:rPr>
          <w:sz w:val="20"/>
        </w:rPr>
        <w:t>Accelerate — deploy the next scheduled tranche early into the dipping fund.</w:t>
      </w:r>
    </w:p>
    <w:p>
      <w:pPr>
        <w:pStyle w:val="ListBullet"/>
        <w:spacing w:before="20" w:after="40"/>
      </w:pPr>
      <w:r>
        <w:rPr>
          <w:sz w:val="20"/>
        </w:rPr>
        <w:t>Maximum early deployment: up to 2 tranches in one go (RM 8,800) — do not deploy the full reserve.</w:t>
      </w:r>
    </w:p>
    <w:p>
      <w:pPr>
        <w:pStyle w:val="ListBullet"/>
        <w:spacing w:before="20" w:after="40"/>
      </w:pPr>
      <w:r>
        <w:rPr>
          <w:sz w:val="20"/>
        </w:rPr>
        <w:t>After early deployment, skip the corresponding future month(s) so total deployed remains RM 26,400.</w:t>
      </w:r>
    </w:p>
    <w:p>
      <w:pPr>
        <w:pStyle w:val="ListBullet"/>
        <w:spacing w:before="20" w:after="40"/>
      </w:pPr>
      <w:r>
        <w:rPr>
          <w:sz w:val="20"/>
        </w:rPr>
        <w:t>The RM 3,600 PeCDF-A reserve is never touched for dip capture — that stays permanently.</w:t>
      </w:r>
    </w:p>
    <w:p>
      <w:pPr>
        <w:spacing w:after="120"/>
      </w:pPr>
    </w:p>
    <w:p>
      <w:pPr>
        <w:spacing w:before="20" w:after="80"/>
      </w:pPr>
      <w:r>
        <w:rPr>
          <w:i/>
          <w:color w:val="718096"/>
          <w:sz w:val="18"/>
        </w:rPr>
        <w:t>This deployment plan is for discussion purposes only and does not constitute investment advice. Past performance is not indicative of future results. Please review with your consultant before proceeding.</w:t>
      </w:r>
    </w:p>
    <w:p>
      <w:pPr>
        <w:spacing w:before="20" w:after="80"/>
      </w:pPr>
      <w:r>
        <w:rPr>
          <w:i w:val="0"/>
          <w:color w:val="718096"/>
          <w:sz w:val="18"/>
        </w:rPr>
        <w:t>Shoo Kyuk Wei (Solid)  ·  FIMM No: F01091705  ·  +601173381713  ·  me@engineerdad.my  ·  Public Mutual Berhad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