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A365D"/>
          <w:sz w:val="36"/>
        </w:rPr>
        <w:t>六个月分批投入计划</w:t>
      </w:r>
    </w:p>
    <w:p>
      <w:pPr>
        <w:spacing w:before="0" w:after="40"/>
      </w:pPr>
      <w:r>
        <w:rPr>
          <w:color w:val="2B6CB0"/>
          <w:sz w:val="22"/>
        </w:rPr>
        <w:t>魏瑞芬  ·  进取型投资组合  ·  2026年4月 – 9月</w:t>
      </w:r>
    </w:p>
    <w:p>
      <w:pPr>
        <w:spacing w:before="0" w:after="200"/>
      </w:pPr>
      <w:r>
        <w:rPr>
          <w:color w:val="718096"/>
          <w:sz w:val="18"/>
        </w:rPr>
        <w:t>总资金：RM 30,000（现有 PeCDF-A 结余）  ·  顾问：Shoo Kyuk Wei（Solid），Public Mutual Berhad</w:t>
      </w:r>
    </w:p>
    <w:p>
      <w:pPr>
        <w:spacing w:before="80" w:after="80"/>
      </w:pPr>
      <w:r>
        <w:rPr>
          <w:b/>
          <w:color w:val="1A365D"/>
          <w:sz w:val="24"/>
        </w:rPr>
        <w:t>概述</w:t>
      </w:r>
    </w:p>
    <w:p>
      <w:pPr>
        <w:spacing w:before="40" w:after="40"/>
      </w:pPr>
      <w:r>
        <w:rPr>
          <w:sz w:val="21"/>
        </w:rPr>
        <w:t>客户在 PeCDF-A 持有 RM 30,000。由于 PIATAF 与 PISTF 目前均处于历史高点，为避免全额一次性投入，本计划分两阶段执行：</w:t>
      </w:r>
    </w:p>
    <w:p>
      <w:pPr>
        <w:pStyle w:val="ListBullet"/>
        <w:spacing w:before="20" w:after="40"/>
      </w:pPr>
      <w:r>
        <w:rPr>
          <w:sz w:val="20"/>
        </w:rPr>
        <w:t>第一个月（4月）：以最低认购额建立各基金仓位，总投入 RM 3,500。</w:t>
      </w:r>
    </w:p>
    <w:p>
      <w:pPr>
        <w:pStyle w:val="ListBullet"/>
        <w:spacing w:before="20" w:after="40"/>
      </w:pPr>
      <w:r>
        <w:rPr>
          <w:sz w:val="20"/>
        </w:rPr>
        <w:t>第2至第6个月（5月–9月）：每月转换 RM 4,580，按比例持续增持至目标金额。</w:t>
      </w:r>
    </w:p>
    <w:p>
      <w:pPr>
        <w:pStyle w:val="ListBullet"/>
        <w:spacing w:before="20" w:after="40"/>
      </w:pPr>
      <w:r>
        <w:rPr>
          <w:sz w:val="20"/>
        </w:rPr>
        <w:t>RM 3,600（12%）长期保留于 PeCDF-A，作为逢跌加仓的战术储备，不纳入部署计划。</w:t>
      </w:r>
    </w:p>
    <w:p>
      <w:pPr>
        <w:spacing w:before="240" w:after="80"/>
      </w:pPr>
      <w:r>
        <w:rPr>
          <w:b/>
          <w:color w:val="1A365D"/>
          <w:sz w:val="24"/>
        </w:rPr>
        <w:t>目标配置（第6个月末最终状态）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361"/>
            <w:vAlign w:val="center"/>
            <w:shd w:val="clear" w:color="auto" w:fill="1a365d"/>
          </w:tcPr>
          <w:p>
            <w:r>
              <w:rPr>
                <w:b/>
                <w:color w:val="FFFFFF"/>
                <w:sz w:val="19"/>
              </w:rPr>
              <w:t>基金</w:t>
            </w:r>
          </w:p>
        </w:tc>
        <w:tc>
          <w:tcPr>
            <w:tcW w:type="dxa" w:w="964"/>
            <w:vAlign w:val="center"/>
            <w:shd w:val="clear" w:color="auto" w:fill="1a365d"/>
          </w:tcPr>
          <w:p>
            <w:r>
              <w:rPr>
                <w:b/>
                <w:color w:val="FFFFFF"/>
                <w:sz w:val="19"/>
              </w:rPr>
              <w:t>配置比例</w:t>
            </w:r>
          </w:p>
        </w:tc>
        <w:tc>
          <w:tcPr>
            <w:tcW w:type="dxa" w:w="1417"/>
            <w:vAlign w:val="center"/>
            <w:shd w:val="clear" w:color="auto" w:fill="1a365d"/>
          </w:tcPr>
          <w:p>
            <w:r>
              <w:rPr>
                <w:b/>
                <w:color w:val="FFFFFF"/>
                <w:sz w:val="19"/>
              </w:rPr>
              <w:t>目标金额（RM）</w:t>
            </w:r>
          </w:p>
        </w:tc>
        <w:tc>
          <w:tcPr>
            <w:tcW w:type="dxa" w:w="1587"/>
            <w:vAlign w:val="center"/>
            <w:shd w:val="clear" w:color="auto" w:fill="1a365d"/>
          </w:tcPr>
          <w:p>
            <w:r>
              <w:rPr>
                <w:b/>
                <w:color w:val="FFFFFF"/>
                <w:sz w:val="19"/>
              </w:rPr>
              <w:t>第1个月（RM）</w:t>
            </w:r>
          </w:p>
        </w:tc>
        <w:tc>
          <w:tcPr>
            <w:tcW w:type="dxa" w:w="1587"/>
            <w:vAlign w:val="center"/>
            <w:shd w:val="clear" w:color="auto" w:fill="1a365d"/>
          </w:tcPr>
          <w:p>
            <w:r>
              <w:rPr>
                <w:b/>
                <w:color w:val="FFFFFF"/>
                <w:sz w:val="19"/>
              </w:rPr>
              <w:t>第2–6个月/月（RM）</w:t>
            </w:r>
          </w:p>
        </w:tc>
        <w:tc>
          <w:tcPr>
            <w:tcW w:type="dxa" w:w="1871"/>
            <w:vAlign w:val="center"/>
            <w:shd w:val="clear" w:color="auto" w:fill="1a365d"/>
          </w:tcPr>
          <w:p>
            <w:r>
              <w:rPr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sz w:val="19"/>
              </w:rPr>
              <w:t>PIATAF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9"/>
              </w:rPr>
              <w:t>45%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9"/>
              </w:rPr>
              <w:t>13,500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9"/>
              </w:rPr>
              <w:t>1,000（最低额）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9"/>
              </w:rPr>
              <w:t>2,500</w:t>
            </w:r>
          </w:p>
        </w:tc>
        <w:tc>
          <w:tcPr>
            <w:tcW w:type="dxa" w:w="1871"/>
            <w:vAlign w:val="center"/>
          </w:tcPr>
          <w:p>
            <w:r>
              <w:rPr>
                <w:sz w:val="19"/>
              </w:rPr>
              <w:t>核心增长引擎</w:t>
            </w:r>
          </w:p>
        </w:tc>
      </w:tr>
      <w:tr>
        <w:tc>
          <w:tcPr>
            <w:tcW w:type="dxa" w:w="1361"/>
            <w:vAlign w:val="center"/>
            <w:shd w:val="clear" w:color="auto" w:fill="f7fafc"/>
          </w:tcPr>
          <w:p>
            <w:r>
              <w:rPr>
                <w:sz w:val="19"/>
              </w:rPr>
              <w:t>PISTF</w:t>
            </w:r>
          </w:p>
        </w:tc>
        <w:tc>
          <w:tcPr>
            <w:tcW w:type="dxa" w:w="964"/>
            <w:vAlign w:val="center"/>
            <w:shd w:val="clear" w:color="auto" w:fill="f7fafc"/>
          </w:tcPr>
          <w:p>
            <w:r>
              <w:rPr>
                <w:sz w:val="19"/>
              </w:rPr>
              <w:t>20%</w:t>
            </w:r>
          </w:p>
        </w:tc>
        <w:tc>
          <w:tcPr>
            <w:tcW w:type="dxa" w:w="1417"/>
            <w:vAlign w:val="center"/>
            <w:shd w:val="clear" w:color="auto" w:fill="f7fafc"/>
          </w:tcPr>
          <w:p>
            <w:r>
              <w:rPr>
                <w:sz w:val="19"/>
              </w:rPr>
              <w:t>6,000</w:t>
            </w:r>
          </w:p>
        </w:tc>
        <w:tc>
          <w:tcPr>
            <w:tcW w:type="dxa" w:w="1587"/>
            <w:vAlign w:val="center"/>
            <w:shd w:val="clear" w:color="auto" w:fill="f7fafc"/>
          </w:tcPr>
          <w:p>
            <w:r>
              <w:rPr>
                <w:sz w:val="19"/>
              </w:rPr>
              <w:t>1,000（最低额）</w:t>
            </w:r>
          </w:p>
        </w:tc>
        <w:tc>
          <w:tcPr>
            <w:tcW w:type="dxa" w:w="1587"/>
            <w:vAlign w:val="center"/>
            <w:shd w:val="clear" w:color="auto" w:fill="f7fafc"/>
          </w:tcPr>
          <w:p>
            <w:r>
              <w:rPr>
                <w:sz w:val="19"/>
              </w:rPr>
              <w:t>1,000</w:t>
            </w:r>
          </w:p>
        </w:tc>
        <w:tc>
          <w:tcPr>
            <w:tcW w:type="dxa" w:w="1871"/>
            <w:vAlign w:val="center"/>
            <w:shd w:val="clear" w:color="auto" w:fill="f7fafc"/>
          </w:tcPr>
          <w:p>
            <w:r>
              <w:rPr>
                <w:sz w:val="19"/>
              </w:rPr>
              <w:t>马来西亚市场锚点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sz w:val="19"/>
              </w:rPr>
              <w:t>PBGTHF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9"/>
              </w:rPr>
              <w:t>13%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9"/>
              </w:rPr>
              <w:t>3,900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9"/>
              </w:rPr>
              <w:t>1,000（最低额）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9"/>
              </w:rPr>
              <w:t>580</w:t>
            </w:r>
          </w:p>
        </w:tc>
        <w:tc>
          <w:tcPr>
            <w:tcW w:type="dxa" w:w="1871"/>
            <w:vAlign w:val="center"/>
          </w:tcPr>
          <w:p>
            <w:r>
              <w:rPr>
                <w:sz w:val="19"/>
              </w:rPr>
              <w:t>全球分散投资</w:t>
            </w:r>
          </w:p>
        </w:tc>
      </w:tr>
      <w:tr>
        <w:tc>
          <w:tcPr>
            <w:tcW w:type="dxa" w:w="1361"/>
            <w:vAlign w:val="center"/>
            <w:shd w:val="clear" w:color="auto" w:fill="f7fafc"/>
          </w:tcPr>
          <w:p>
            <w:r>
              <w:rPr>
                <w:sz w:val="19"/>
              </w:rPr>
              <w:t>PeEMAS</w:t>
            </w:r>
          </w:p>
        </w:tc>
        <w:tc>
          <w:tcPr>
            <w:tcW w:type="dxa" w:w="964"/>
            <w:vAlign w:val="center"/>
            <w:shd w:val="clear" w:color="auto" w:fill="f7fafc"/>
          </w:tcPr>
          <w:p>
            <w:r>
              <w:rPr>
                <w:sz w:val="19"/>
              </w:rPr>
              <w:t>10%</w:t>
            </w:r>
          </w:p>
        </w:tc>
        <w:tc>
          <w:tcPr>
            <w:tcW w:type="dxa" w:w="1417"/>
            <w:vAlign w:val="center"/>
            <w:shd w:val="clear" w:color="auto" w:fill="f7fafc"/>
          </w:tcPr>
          <w:p>
            <w:r>
              <w:rPr>
                <w:sz w:val="19"/>
              </w:rPr>
              <w:t>3,000</w:t>
            </w:r>
          </w:p>
        </w:tc>
        <w:tc>
          <w:tcPr>
            <w:tcW w:type="dxa" w:w="1587"/>
            <w:vAlign w:val="center"/>
            <w:shd w:val="clear" w:color="auto" w:fill="f7fafc"/>
          </w:tcPr>
          <w:p>
            <w:r>
              <w:rPr>
                <w:sz w:val="19"/>
              </w:rPr>
              <w:t>500（预先配置）</w:t>
            </w:r>
          </w:p>
        </w:tc>
        <w:tc>
          <w:tcPr>
            <w:tcW w:type="dxa" w:w="1587"/>
            <w:vAlign w:val="center"/>
            <w:shd w:val="clear" w:color="auto" w:fill="f7fafc"/>
          </w:tcPr>
          <w:p>
            <w:r>
              <w:rPr>
                <w:sz w:val="19"/>
              </w:rPr>
              <w:t>500</w:t>
            </w:r>
          </w:p>
        </w:tc>
        <w:tc>
          <w:tcPr>
            <w:tcW w:type="dxa" w:w="1871"/>
            <w:vAlign w:val="center"/>
            <w:shd w:val="clear" w:color="auto" w:fill="f7fafc"/>
          </w:tcPr>
          <w:p>
            <w:r>
              <w:rPr>
                <w:sz w:val="19"/>
              </w:rPr>
              <w:t>黄金对冲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sz w:val="19"/>
              </w:rPr>
              <w:t>PeCDF-A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19"/>
              </w:rPr>
              <w:t>12%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9"/>
              </w:rPr>
              <w:t>3,600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9"/>
              </w:rPr>
              <w:t>— （保留）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9"/>
              </w:rPr>
              <w:t>— （保留）</w:t>
            </w:r>
          </w:p>
        </w:tc>
        <w:tc>
          <w:tcPr>
            <w:tcW w:type="dxa" w:w="1871"/>
            <w:vAlign w:val="center"/>
          </w:tcPr>
          <w:p>
            <w:r>
              <w:rPr>
                <w:sz w:val="19"/>
              </w:rPr>
              <w:t>战术储备</w:t>
            </w:r>
          </w:p>
        </w:tc>
      </w:tr>
      <w:tr>
        <w:tc>
          <w:tcPr>
            <w:tcW w:type="dxa" w:w="1361"/>
            <w:vAlign w:val="center"/>
            <w:shd w:val="clear" w:color="auto" w:fill="ebf8ff"/>
          </w:tcPr>
          <w:p>
            <w:r>
              <w:rPr>
                <w:b/>
                <w:sz w:val="19"/>
              </w:rPr>
              <w:t>合计</w:t>
            </w:r>
          </w:p>
        </w:tc>
        <w:tc>
          <w:tcPr>
            <w:tcW w:type="dxa" w:w="964"/>
            <w:vAlign w:val="center"/>
            <w:shd w:val="clear" w:color="auto" w:fill="ebf8ff"/>
          </w:tcPr>
          <w:p>
            <w:r>
              <w:rPr>
                <w:b/>
                <w:sz w:val="19"/>
              </w:rPr>
              <w:t>100%</w:t>
            </w:r>
          </w:p>
        </w:tc>
        <w:tc>
          <w:tcPr>
            <w:tcW w:type="dxa" w:w="1417"/>
            <w:vAlign w:val="center"/>
            <w:shd w:val="clear" w:color="auto" w:fill="ebf8ff"/>
          </w:tcPr>
          <w:p>
            <w:r>
              <w:rPr>
                <w:b/>
                <w:sz w:val="19"/>
              </w:rPr>
              <w:t>30,000</w:t>
            </w:r>
          </w:p>
        </w:tc>
        <w:tc>
          <w:tcPr>
            <w:tcW w:type="dxa" w:w="1587"/>
            <w:vAlign w:val="center"/>
            <w:shd w:val="clear" w:color="auto" w:fill="ebf8ff"/>
          </w:tcPr>
          <w:p>
            <w:r>
              <w:rPr>
                <w:b/>
                <w:sz w:val="19"/>
              </w:rPr>
              <w:t>3,500</w:t>
            </w:r>
          </w:p>
        </w:tc>
        <w:tc>
          <w:tcPr>
            <w:tcW w:type="dxa" w:w="1587"/>
            <w:vAlign w:val="center"/>
            <w:shd w:val="clear" w:color="auto" w:fill="ebf8ff"/>
          </w:tcPr>
          <w:p>
            <w:r>
              <w:rPr>
                <w:b/>
                <w:sz w:val="19"/>
              </w:rPr>
              <w:t>4,580 × 5</w:t>
            </w:r>
          </w:p>
        </w:tc>
        <w:tc>
          <w:tcPr>
            <w:tcW w:type="dxa" w:w="1871"/>
            <w:vAlign w:val="center"/>
            <w:shd w:val="clear" w:color="auto" w:fill="ebf8ff"/>
          </w:tcPr>
          <w:p>
            <w:r>
              <w:rPr>
                <w:b/>
                <w:sz w:val="19"/>
              </w:rPr>
            </w:r>
          </w:p>
        </w:tc>
      </w:tr>
    </w:tbl>
    <w:p>
      <w:pPr>
        <w:spacing w:before="240" w:after="80"/>
      </w:pPr>
      <w:r>
        <w:rPr>
          <w:b/>
          <w:color w:val="1A365D"/>
          <w:sz w:val="24"/>
        </w:rPr>
        <w:t>逐月操作计划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020"/>
            <w:vAlign w:val="top"/>
            <w:shd w:val="clear" w:color="auto" w:fill="1a365d"/>
          </w:tcPr>
          <w:p>
            <w:r>
              <w:rPr>
                <w:b/>
                <w:color w:val="FFFFFF"/>
                <w:sz w:val="19"/>
              </w:rPr>
              <w:t>月份</w:t>
            </w:r>
          </w:p>
        </w:tc>
        <w:tc>
          <w:tcPr>
            <w:tcW w:type="dxa" w:w="4876"/>
            <w:vAlign w:val="top"/>
            <w:shd w:val="clear" w:color="auto" w:fill="1a365d"/>
          </w:tcPr>
          <w:p>
            <w:r>
              <w:rPr>
                <w:b/>
                <w:color w:val="FFFFFF"/>
                <w:sz w:val="19"/>
              </w:rPr>
              <w:t>操作内容</w:t>
            </w:r>
          </w:p>
        </w:tc>
        <w:tc>
          <w:tcPr>
            <w:tcW w:type="dxa" w:w="1361"/>
            <w:vAlign w:val="top"/>
            <w:shd w:val="clear" w:color="auto" w:fill="1a365d"/>
          </w:tcPr>
          <w:p>
            <w:r>
              <w:rPr>
                <w:b/>
                <w:color w:val="FFFFFF"/>
                <w:sz w:val="19"/>
              </w:rPr>
              <w:t>本月转出（RM）</w:t>
            </w:r>
          </w:p>
        </w:tc>
        <w:tc>
          <w:tcPr>
            <w:tcW w:type="dxa" w:w="1474"/>
            <w:vAlign w:val="top"/>
            <w:shd w:val="clear" w:color="auto" w:fill="1a365d"/>
          </w:tcPr>
          <w:p>
            <w:r>
              <w:rPr>
                <w:b/>
                <w:color w:val="FFFFFF"/>
                <w:sz w:val="19"/>
              </w:rPr>
              <w:t>PeCDF-A 余额（RM）</w:t>
            </w:r>
          </w:p>
        </w:tc>
      </w:tr>
      <w:tr>
        <w:tc>
          <w:tcPr>
            <w:tcW w:type="dxa" w:w="1020"/>
            <w:vAlign w:val="top"/>
          </w:tcPr>
          <w:p>
            <w:r>
              <w:rPr>
                <w:sz w:val="19"/>
              </w:rPr>
              <w:t>2026年</w:t>
              <w:br/>
              <w:t>4月</w:t>
            </w:r>
          </w:p>
        </w:tc>
        <w:tc>
          <w:tcPr>
            <w:tcW w:type="dxa" w:w="4876"/>
            <w:vAlign w:val="top"/>
          </w:tcPr>
          <w:p>
            <w:r>
              <w:rPr>
                <w:sz w:val="19"/>
              </w:rPr>
              <w:t>开仓月：</w:t>
              <w:br/>
              <w:t>· PIATAF RM 1,000（最低认购额）</w:t>
              <w:br/>
              <w:t>· PISTF RM 1,000（最低认购额）</w:t>
              <w:br/>
              <w:t>· PBGTHF RM 1,000（最低认购额）</w:t>
              <w:br/>
              <w:t>· PeEMAS RM 500（黄金预先配置）</w:t>
            </w:r>
          </w:p>
        </w:tc>
        <w:tc>
          <w:tcPr>
            <w:tcW w:type="dxa" w:w="1361"/>
            <w:vAlign w:val="top"/>
          </w:tcPr>
          <w:p>
            <w:r>
              <w:rPr>
                <w:sz w:val="19"/>
              </w:rPr>
              <w:t>3,500</w:t>
            </w:r>
          </w:p>
        </w:tc>
        <w:tc>
          <w:tcPr>
            <w:tcW w:type="dxa" w:w="1474"/>
            <w:vAlign w:val="top"/>
          </w:tcPr>
          <w:p>
            <w:r>
              <w:rPr>
                <w:sz w:val="19"/>
              </w:rPr>
              <w:t>26,500</w:t>
            </w:r>
          </w:p>
        </w:tc>
      </w:tr>
      <w:tr>
        <w:tc>
          <w:tcPr>
            <w:tcW w:type="dxa" w:w="1020"/>
            <w:vAlign w:val="top"/>
            <w:shd w:val="clear" w:color="auto" w:fill="f7fafc"/>
          </w:tcPr>
          <w:p>
            <w:r>
              <w:rPr>
                <w:sz w:val="19"/>
              </w:rPr>
              <w:t>2026年</w:t>
              <w:br/>
              <w:t>5月</w:t>
            </w:r>
          </w:p>
        </w:tc>
        <w:tc>
          <w:tcPr>
            <w:tcW w:type="dxa" w:w="4876"/>
            <w:vAlign w:val="top"/>
            <w:shd w:val="clear" w:color="auto" w:fill="f7fafc"/>
          </w:tcPr>
          <w:p>
            <w:r>
              <w:rPr>
                <w:sz w:val="19"/>
              </w:rPr>
              <w:t>按比例增持：PIATAF RM 2,500 · PISTF RM 1,000 · PBGTHF RM 580 · PeEMAS RM 500</w:t>
              <w:br/>
              <w:t>转换前检查回撤——若任一基金较上月净值跌幅 ≥5%，优先加仓该基金。</w:t>
            </w:r>
          </w:p>
        </w:tc>
        <w:tc>
          <w:tcPr>
            <w:tcW w:type="dxa" w:w="1361"/>
            <w:vAlign w:val="top"/>
            <w:shd w:val="clear" w:color="auto" w:fill="f7fafc"/>
          </w:tcPr>
          <w:p>
            <w:r>
              <w:rPr>
                <w:sz w:val="19"/>
              </w:rPr>
              <w:t>4,580</w:t>
            </w:r>
          </w:p>
        </w:tc>
        <w:tc>
          <w:tcPr>
            <w:tcW w:type="dxa" w:w="1474"/>
            <w:vAlign w:val="top"/>
            <w:shd w:val="clear" w:color="auto" w:fill="f7fafc"/>
          </w:tcPr>
          <w:p>
            <w:r>
              <w:rPr>
                <w:sz w:val="19"/>
              </w:rPr>
              <w:t>21,920</w:t>
            </w:r>
          </w:p>
        </w:tc>
      </w:tr>
      <w:tr>
        <w:tc>
          <w:tcPr>
            <w:tcW w:type="dxa" w:w="1020"/>
            <w:vAlign w:val="top"/>
          </w:tcPr>
          <w:p>
            <w:r>
              <w:rPr>
                <w:sz w:val="19"/>
              </w:rPr>
              <w:t>2026年</w:t>
              <w:br/>
              <w:t>6月</w:t>
            </w:r>
          </w:p>
        </w:tc>
        <w:tc>
          <w:tcPr>
            <w:tcW w:type="dxa" w:w="4876"/>
            <w:vAlign w:val="top"/>
          </w:tcPr>
          <w:p>
            <w:r>
              <w:rPr>
                <w:sz w:val="19"/>
              </w:rPr>
              <w:t>按比例增持：PIATAF RM 2,500 · PISTF RM 1,000 · PBGTHF RM 580 · PeEMAS RM 500</w:t>
              <w:br/>
              <w:t>中期检视：确认组合进度，检查历史高点回撤提示。</w:t>
            </w:r>
          </w:p>
        </w:tc>
        <w:tc>
          <w:tcPr>
            <w:tcW w:type="dxa" w:w="1361"/>
            <w:vAlign w:val="top"/>
          </w:tcPr>
          <w:p>
            <w:r>
              <w:rPr>
                <w:sz w:val="19"/>
              </w:rPr>
              <w:t>4,580</w:t>
            </w:r>
          </w:p>
        </w:tc>
        <w:tc>
          <w:tcPr>
            <w:tcW w:type="dxa" w:w="1474"/>
            <w:vAlign w:val="top"/>
          </w:tcPr>
          <w:p>
            <w:r>
              <w:rPr>
                <w:sz w:val="19"/>
              </w:rPr>
              <w:t>17,340</w:t>
            </w:r>
          </w:p>
        </w:tc>
      </w:tr>
      <w:tr>
        <w:tc>
          <w:tcPr>
            <w:tcW w:type="dxa" w:w="1020"/>
            <w:vAlign w:val="top"/>
            <w:shd w:val="clear" w:color="auto" w:fill="f7fafc"/>
          </w:tcPr>
          <w:p>
            <w:r>
              <w:rPr>
                <w:sz w:val="19"/>
              </w:rPr>
              <w:t>2026年</w:t>
              <w:br/>
              <w:t>7月</w:t>
            </w:r>
          </w:p>
        </w:tc>
        <w:tc>
          <w:tcPr>
            <w:tcW w:type="dxa" w:w="4876"/>
            <w:vAlign w:val="top"/>
            <w:shd w:val="clear" w:color="auto" w:fill="f7fafc"/>
          </w:tcPr>
          <w:p>
            <w:r>
              <w:rPr>
                <w:sz w:val="19"/>
              </w:rPr>
              <w:t>按比例增持：PIATAF RM 2,500 · PISTF RM 1,000 · PBGTHF RM 580 · PeEMAS RM 500</w:t>
              <w:br/>
              <w:t>如触发跌幅条件（≥10% 回撤），可提前加速部署（见下方规则）。</w:t>
            </w:r>
          </w:p>
        </w:tc>
        <w:tc>
          <w:tcPr>
            <w:tcW w:type="dxa" w:w="1361"/>
            <w:vAlign w:val="top"/>
            <w:shd w:val="clear" w:color="auto" w:fill="f7fafc"/>
          </w:tcPr>
          <w:p>
            <w:r>
              <w:rPr>
                <w:sz w:val="19"/>
              </w:rPr>
              <w:t>4,580</w:t>
            </w:r>
          </w:p>
        </w:tc>
        <w:tc>
          <w:tcPr>
            <w:tcW w:type="dxa" w:w="1474"/>
            <w:vAlign w:val="top"/>
            <w:shd w:val="clear" w:color="auto" w:fill="f7fafc"/>
          </w:tcPr>
          <w:p>
            <w:r>
              <w:rPr>
                <w:sz w:val="19"/>
              </w:rPr>
              <w:t>12,760</w:t>
            </w:r>
          </w:p>
        </w:tc>
      </w:tr>
      <w:tr>
        <w:tc>
          <w:tcPr>
            <w:tcW w:type="dxa" w:w="1020"/>
            <w:vAlign w:val="top"/>
          </w:tcPr>
          <w:p>
            <w:r>
              <w:rPr>
                <w:sz w:val="19"/>
              </w:rPr>
              <w:t>2026年</w:t>
              <w:br/>
              <w:t>8月</w:t>
            </w:r>
          </w:p>
        </w:tc>
        <w:tc>
          <w:tcPr>
            <w:tcW w:type="dxa" w:w="4876"/>
            <w:vAlign w:val="top"/>
          </w:tcPr>
          <w:p>
            <w:r>
              <w:rPr>
                <w:sz w:val="19"/>
              </w:rPr>
              <w:t>按比例增持：PIATAF RM 2,500 · PISTF RM 1,000 · PBGTHF RM 580 · PeEMAS RM 500</w:t>
            </w:r>
          </w:p>
        </w:tc>
        <w:tc>
          <w:tcPr>
            <w:tcW w:type="dxa" w:w="1361"/>
            <w:vAlign w:val="top"/>
          </w:tcPr>
          <w:p>
            <w:r>
              <w:rPr>
                <w:sz w:val="19"/>
              </w:rPr>
              <w:t>4,580</w:t>
            </w:r>
          </w:p>
        </w:tc>
        <w:tc>
          <w:tcPr>
            <w:tcW w:type="dxa" w:w="1474"/>
            <w:vAlign w:val="top"/>
          </w:tcPr>
          <w:p>
            <w:r>
              <w:rPr>
                <w:sz w:val="19"/>
              </w:rPr>
              <w:t>8,180</w:t>
            </w:r>
          </w:p>
        </w:tc>
      </w:tr>
      <w:tr>
        <w:tc>
          <w:tcPr>
            <w:tcW w:type="dxa" w:w="1020"/>
            <w:vAlign w:val="top"/>
            <w:shd w:val="clear" w:color="auto" w:fill="f7fafc"/>
          </w:tcPr>
          <w:p>
            <w:r>
              <w:rPr>
                <w:sz w:val="19"/>
              </w:rPr>
              <w:t>2026年</w:t>
              <w:br/>
              <w:t>9月</w:t>
            </w:r>
          </w:p>
        </w:tc>
        <w:tc>
          <w:tcPr>
            <w:tcW w:type="dxa" w:w="4876"/>
            <w:vAlign w:val="top"/>
            <w:shd w:val="clear" w:color="auto" w:fill="f7fafc"/>
          </w:tcPr>
          <w:p>
            <w:r>
              <w:rPr>
                <w:sz w:val="19"/>
              </w:rPr>
              <w:t>最后批次：PIATAF RM 2,500 · PISTF RM 1,000 · PBGTHF RM 580 · PeEMAS RM 500</w:t>
              <w:br/>
              <w:t>全部部署完成，PeCDF-A 保留 RM 3,600 战术储备。</w:t>
            </w:r>
          </w:p>
        </w:tc>
        <w:tc>
          <w:tcPr>
            <w:tcW w:type="dxa" w:w="1361"/>
            <w:vAlign w:val="top"/>
            <w:shd w:val="clear" w:color="auto" w:fill="f7fafc"/>
          </w:tcPr>
          <w:p>
            <w:r>
              <w:rPr>
                <w:sz w:val="19"/>
              </w:rPr>
              <w:t>4,580</w:t>
            </w:r>
          </w:p>
        </w:tc>
        <w:tc>
          <w:tcPr>
            <w:tcW w:type="dxa" w:w="1474"/>
            <w:vAlign w:val="top"/>
            <w:shd w:val="clear" w:color="auto" w:fill="f7fafc"/>
          </w:tcPr>
          <w:p>
            <w:r>
              <w:rPr>
                <w:sz w:val="19"/>
              </w:rPr>
              <w:t>3,600</w:t>
            </w:r>
          </w:p>
        </w:tc>
      </w:tr>
      <w:tr>
        <w:tc>
          <w:tcPr>
            <w:tcW w:type="dxa" w:w="1020"/>
            <w:vAlign w:val="top"/>
            <w:shd w:val="clear" w:color="auto" w:fill="ebf8ff"/>
          </w:tcPr>
          <w:p>
            <w:r>
              <w:rPr>
                <w:b/>
                <w:sz w:val="19"/>
              </w:rPr>
              <w:t>合计</w:t>
            </w:r>
          </w:p>
        </w:tc>
        <w:tc>
          <w:tcPr>
            <w:tcW w:type="dxa" w:w="4876"/>
            <w:vAlign w:val="top"/>
            <w:shd w:val="clear" w:color="auto" w:fill="ebf8ff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361"/>
            <w:vAlign w:val="top"/>
            <w:shd w:val="clear" w:color="auto" w:fill="ebf8ff"/>
          </w:tcPr>
          <w:p>
            <w:r>
              <w:rPr>
                <w:b/>
                <w:sz w:val="19"/>
              </w:rPr>
              <w:t>26,400</w:t>
            </w:r>
          </w:p>
        </w:tc>
        <w:tc>
          <w:tcPr>
            <w:tcW w:type="dxa" w:w="1474"/>
            <w:vAlign w:val="top"/>
            <w:shd w:val="clear" w:color="auto" w:fill="ebf8ff"/>
          </w:tcPr>
          <w:p>
            <w:r>
              <w:rPr>
                <w:b/>
                <w:sz w:val="19"/>
              </w:rPr>
              <w:t>3,600（永久储备）</w:t>
            </w:r>
          </w:p>
        </w:tc>
      </w:tr>
    </w:tbl>
    <w:p>
      <w:pPr>
        <w:spacing w:before="240" w:after="80"/>
      </w:pPr>
      <w:r>
        <w:rPr>
          <w:b/>
          <w:color w:val="1A365D"/>
          <w:sz w:val="24"/>
        </w:rPr>
        <w:t>逢跌加速投入规则</w:t>
      </w:r>
    </w:p>
    <w:p>
      <w:pPr>
        <w:spacing w:before="40" w:after="40"/>
      </w:pPr>
      <w:r>
        <w:rPr>
          <w:sz w:val="21"/>
        </w:rPr>
        <w:t>若 PIATAF 或 PISTF 在六个月内自历史高点回撤 ≥10%：</w:t>
      </w:r>
    </w:p>
    <w:p>
      <w:pPr>
        <w:pStyle w:val="ListBullet"/>
        <w:spacing w:before="20" w:after="40"/>
      </w:pPr>
      <w:r>
        <w:rPr>
          <w:sz w:val="20"/>
        </w:rPr>
        <w:t>提前执行——将下一批次提早转换至回撤的基金。</w:t>
      </w:r>
    </w:p>
    <w:p>
      <w:pPr>
        <w:pStyle w:val="ListBullet"/>
        <w:spacing w:before="20" w:after="40"/>
      </w:pPr>
      <w:r>
        <w:rPr>
          <w:sz w:val="20"/>
        </w:rPr>
        <w:t>单次最多提前部署两批次（RM 9,160），不得一次性动用全部余额。</w:t>
      </w:r>
    </w:p>
    <w:p>
      <w:pPr>
        <w:pStyle w:val="ListBullet"/>
        <w:spacing w:before="20" w:after="40"/>
      </w:pPr>
      <w:r>
        <w:rPr>
          <w:sz w:val="20"/>
        </w:rPr>
        <w:t>提前部署后，相应跳过后续月份，确保总部署金额维持 RM 26,400。</w:t>
      </w:r>
    </w:p>
    <w:p>
      <w:pPr>
        <w:pStyle w:val="ListBullet"/>
        <w:spacing w:before="20" w:after="40"/>
      </w:pPr>
      <w:r>
        <w:rPr>
          <w:sz w:val="20"/>
        </w:rPr>
        <w:t>RM 3,600 的 PeCDF-A 战术储备永远不动用于此规则。</w:t>
      </w:r>
    </w:p>
    <w:p>
      <w:pPr>
        <w:spacing w:after="120"/>
      </w:pPr>
    </w:p>
    <w:p>
      <w:pPr>
        <w:spacing w:before="20" w:after="80"/>
      </w:pPr>
      <w:r>
        <w:rPr>
          <w:i/>
          <w:color w:val="718096"/>
          <w:sz w:val="18"/>
        </w:rPr>
        <w:t>本计划仅供参考，不构成投资建议。过往表现不代表未来回报。请在执行前与您的顾问确认。</w:t>
      </w:r>
    </w:p>
    <w:p>
      <w:pPr>
        <w:spacing w:before="20" w:after="80"/>
      </w:pPr>
      <w:r>
        <w:rPr>
          <w:i w:val="0"/>
          <w:color w:val="718096"/>
          <w:sz w:val="18"/>
        </w:rPr>
        <w:t>Shoo Kyuk Wei（Solid）  ·  FIMM No: F01091705  ·  +601173381713  ·  me@engineerdad.my  ·  Public Mutual Berhad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