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_394c930997e16eaece59be21f0cd5a7429cd4c5"/>
    <w:p>
      <w:pPr>
        <w:pStyle w:val="Heading1"/>
      </w:pPr>
      <w:r>
        <w:t xml:space="preserve">System-1 Clinical Decision Support in Low-Resource Primary Care: A Benchmark Under Population Shift</w:t>
      </w:r>
    </w:p>
    <w:p>
      <w:r>
        <w:pict>
          <v:rect style="width:0;height:1.5pt" o:hralign="center" o:hrstd="t" o:hr="t"/>
        </w:pict>
      </w:r>
    </w:p>
    <w:bookmarkStart w:id="9" w:name="_authors"/>
    <w:p>
      <w:pPr>
        <w:pStyle w:val="Heading2"/>
      </w:pPr>
      <w:r>
        <w:t xml:space="preserve">Authors</w:t>
      </w:r>
    </w:p>
    <w:p>
      <w:pPr>
        <w:pStyle w:val="FirstParagraph"/>
      </w:pPr>
      <w:r>
        <w:t xml:space="preserve">[Author names withheld for double-blind peer review]</w:t>
      </w:r>
    </w:p>
    <w:p>
      <w:r>
        <w:pict>
          <v:rect style="width:0;height:1.5pt" o:hralign="center" o:hrstd="t" o:hr="t"/>
        </w:pict>
      </w:r>
    </w:p>
    <w:bookmarkEnd w:id="9"/>
    <w:bookmarkStart w:id="10" w:name="_abstract"/>
    <w:p>
      <w:pPr>
        <w:pStyle w:val="Heading2"/>
      </w:pPr>
      <w:r>
        <w:t xml:space="preserve">Abstract</w:t>
      </w:r>
    </w:p>
    <w:p>
      <w:pPr>
        <w:pStyle w:val="FirstParagraph"/>
      </w:pPr>
      <w:r>
        <w:rPr>
          <w:b/>
          <w:bCs/>
        </w:rPr>
        <w:t xml:space="preserve">Background:</w:t>
      </w:r>
      <w:r>
        <w:t xml:space="preserve"> </w:t>
      </w:r>
      <w:r>
        <w:t xml:space="preserve">Automated International Classification of Diseases, Tenth Revision (ICD-10) coding in low-resource primary healthcare remains a formidable informatics challenge. In community health centres (</w:t>
      </w:r>
      <w:r>
        <w:rPr>
          <w:i/>
          <w:iCs/>
        </w:rPr>
        <w:t xml:space="preserve">Puskesmas</w:t>
      </w:r>
      <w:r>
        <w:t xml:space="preserve">) across Indonesia, clinical narratives are recorded in an informal register blending Bahasa Indonesia, regional Javanese dialect vernaculars, and Dutch-derived clinical terminology. While generative large language models (LLMs) have attracted substantial attention, their extreme computational footprints, multi-second decoding latencies, vulnerabilities to hallucination, and privacy compliance barriers render them unsuitable for offline primary care clinics in developing regions.</w:t>
      </w:r>
    </w:p>
    <w:p>
      <w:pPr>
        <w:pStyle w:val="BodyText"/>
      </w:pPr>
      <w:r>
        <w:rPr>
          <w:b/>
          <w:bCs/>
        </w:rPr>
        <w:t xml:space="preserve">Objective:</w:t>
      </w:r>
      <w:r>
        <w:t xml:space="preserve"> </w:t>
      </w:r>
      <w:r>
        <w:t xml:space="preserve">We investigate whether automated diagnostic coding in outpatient primary care operates fundamentally as a rapid System-1 decision task over an authorized diagnostic action space rather than an open-ended generative extraction problem. We benchmark non-autoregressive decision architectures across contrasting topological designs (an ultra-compact 13.5M parameter bidirectional encoder, ELECTRA-Small; a 149M parameter bidirectional encoder, ModernBERT; and a 268M parameter cross-encoder, Gemma 3) against classical lexical classifiers and evaluate their resilience under an out-of-city population shift.</w:t>
      </w:r>
    </w:p>
    <w:p>
      <w:pPr>
        <w:pStyle w:val="BodyText"/>
      </w:pPr>
      <w:r>
        <w:rPr>
          <w:b/>
          <w:bCs/>
        </w:rPr>
        <w:t xml:space="preserve">Methods:</w:t>
      </w:r>
      <w:r>
        <w:t xml:space="preserve"> </w:t>
      </w:r>
      <w:r>
        <w:t xml:space="preserve">We analysed 34,768 clinical encounters documented during 2024 at Puskesmas Poncol in Semarang, Indonesia. The 29 most frequent primary ICD-10 categories covering 75.1% of visits (26,110 encounters) formed the target inventory. Models were trained on the urban resident cohort (17,163 encounters), calibrated on a development split (1,808 encounters), and evaluated on an independent out-of-city commuter and referral holdout (3,758 encounters). We evaluated: (1) a tuned TF-IDF and Linear Support Vector Machine (SVM) baseline; (2) a Gemma 3 270M cross-encoder; (3) a ModernBERT 149M bidirectional marker-pointer engine; and (4) a native ELECTRA-Small 13.5M bidirectional marker-pointer model trained with in-domain dialect tokens across 16 epochs. Metrics included Top-1 to Top-3 accuracy, macro-averaged F₁, Expected Calibration Error (ECE), and Brier score.</w:t>
      </w:r>
    </w:p>
    <w:p>
      <w:pPr>
        <w:pStyle w:val="BodyText"/>
      </w:pPr>
      <w:r>
        <w:rPr>
          <w:b/>
          <w:bCs/>
        </w:rPr>
        <w:t xml:space="preserve">Results:</w:t>
      </w:r>
      <w:r>
        <w:t xml:space="preserve"> </w:t>
      </w:r>
      <w:r>
        <w:t xml:space="preserve">On the 3,758 holdout encounters, unadapted zero-shot models failed catastrophically (1.09% to 5.46% Top-1, operating below the 3.45% random guess floor). Fine-tuning with domain vocabulary expansion transformed performance across all neural topologies: the Gemma 3 270M cross-encoder reached 60.88% Top-1 (84.17% Top-3; 413.1 ms latency), while ModernBERT 149M reached 63.07% Top-1 (86.67% Top-3; 35.7 ms latency). Standalone ELECTRA-Small (13.5M parameters, Peak Epoch 13) established the highest overall benchmark accuracy: 67.78% Top-1, 84.25% Top-2, and 90.69% Top-3 accuracy with an ECE of 0.0418 (raw 0.0357), executing in 3.2 ms per visit on GPU and 14.1 ms via INT8 quantization on CPU. ELECTRA-Small surpassed both the Linear SVM baseline (65.38% Top-1, 87.39% Top-3) and larger neural models, breaking the 90% primary care differential guidance threshold as a single model without ensembling. Feature ablation proved that physiological vitals are indispensable: ablating numerical vitals caused diagnostic collapse, with Top-1 dropping to 49.71% and 30.5% of visits falsely defaulting to general checkups (Z00).</w:t>
      </w:r>
    </w:p>
    <w:p>
      <w:pPr>
        <w:pStyle w:val="BodyText"/>
      </w:pPr>
      <w:r>
        <w:rPr>
          <w:b/>
          <w:bCs/>
        </w:rPr>
        <w:t xml:space="preserve">Conclusions:</w:t>
      </w:r>
      <w:r>
        <w:t xml:space="preserve"> </w:t>
      </w:r>
      <w:r>
        <w:t xml:space="preserve">Ultra-compact language models under 15M parameters surpass classical linear classifiers and larger neural transformers when structured as non-autoregressive System-1 decision engines. Standalone ELECTRA-Small breaks the 90% diagnostic accuracy threshold (90.69% Top-3), providing an offline, privacy-preserving, sub-15 millisecond decision support pipeline deployable on standard primary care desktop hardware.</w:t>
      </w:r>
    </w:p>
    <w:p>
      <w:pPr>
        <w:pStyle w:val="BodyText"/>
      </w:pPr>
      <w:r>
        <w:rPr>
          <w:b/>
          <w:bCs/>
        </w:rPr>
        <w:t xml:space="preserve">Keywords:</w:t>
      </w:r>
      <w:r>
        <w:t xml:space="preserve"> </w:t>
      </w:r>
      <w:r>
        <w:t xml:space="preserve">System-1 decision architectures, clinical decision support, ICD-10 automated coding, ELECTRA-Small, ModernBERT, Gemma 3, population shift, confidence calibration, edge computing, primary care, Indonesia</w:t>
      </w:r>
    </w:p>
    <w:p>
      <w:r>
        <w:pict>
          <v:rect style="width:0;height:1.5pt" o:hralign="center" o:hrstd="t" o:hr="t"/>
        </w:pict>
      </w:r>
    </w:p>
    <w:bookmarkEnd w:id="10"/>
    <w:bookmarkStart w:id="11" w:name="_introduction"/>
    <w:p>
      <w:pPr>
        <w:pStyle w:val="Heading2"/>
      </w:pPr>
      <w:r>
        <w:t xml:space="preserve">1. Introduction</w:t>
      </w:r>
    </w:p>
    <w:p>
      <w:pPr>
        <w:pStyle w:val="FirstParagraph"/>
      </w:pPr>
      <w:r>
        <w:t xml:space="preserve">The International Classification of Diseases, Tenth Revision (ICD-10) serves as the global standard for encoding primary healthcare consultations, underpinning epidemiological surveillance, resource allocation, and healthcare financing [1]. In Indonesia, community health centres (</w:t>
      </w:r>
      <w:r>
        <w:rPr>
          <w:i/>
          <w:iCs/>
        </w:rPr>
        <w:t xml:space="preserve">Puskesmas</w:t>
      </w:r>
      <w:r>
        <w:t xml:space="preserve">) operate as mandatory primary care gatekeepers (</w:t>
      </w:r>
      <w:r>
        <w:rPr>
          <w:i/>
          <w:iCs/>
        </w:rPr>
        <w:t xml:space="preserve">Faskes Tingkat 1</w:t>
      </w:r>
      <w:r>
        <w:t xml:space="preserve">) under the single-payer national health insurance scheme (</w:t>
      </w:r>
      <w:r>
        <w:rPr>
          <w:i/>
          <w:iCs/>
        </w:rPr>
        <w:t xml:space="preserve">Jaminan Kesehatan Nasional</w:t>
      </w:r>
      <w:r>
        <w:t xml:space="preserve">) administered by BPJS Kesehatan, covering over 220 million enrolled citizens [2], [3]. Within this high-volume public healthcare network, attending primary care physicians routinely examine 80 to 120 patients per day. Each encounter requires assigning an authorized diagnostic ICD-10 code that dictates pharmaceutical dispensing, capitation reimbursement, and secondary hospital referrals.</w:t>
      </w:r>
    </w:p>
    <w:p>
      <w:pPr>
        <w:pStyle w:val="BodyText"/>
      </w:pPr>
      <w:r>
        <w:t xml:space="preserve">Automated clinical coding in low-resource primary care encounters persistent challenges rooted in linguistics, data sparsity, and operational infrastructure [4], [5], [6]. First, clinical documentation in Indonesian community clinics is rarely recorded in formal, standardized prose. Clinicians document consultation notes in an informal, colloquial register that fluidly mixes Bahasa Indonesia with regional Javanese dialect vernaculars and historical Dutch-derived clinical shorthand. Regional somatic descriptors such as</w:t>
      </w:r>
      <w:r>
        <w:t xml:space="preserve"> </w:t>
      </w:r>
      <w:r>
        <w:rPr>
          <w:i/>
          <w:iCs/>
        </w:rPr>
        <w:t xml:space="preserve">nggliyeng</w:t>
      </w:r>
      <w:r>
        <w:t xml:space="preserve"> </w:t>
      </w:r>
      <w:r>
        <w:t xml:space="preserve">(lightheaded dizziness),</w:t>
      </w:r>
      <w:r>
        <w:t xml:space="preserve"> </w:t>
      </w:r>
      <w:r>
        <w:rPr>
          <w:i/>
          <w:iCs/>
        </w:rPr>
        <w:t xml:space="preserve">cekot-cekot</w:t>
      </w:r>
      <w:r>
        <w:t xml:space="preserve"> </w:t>
      </w:r>
      <w:r>
        <w:t xml:space="preserve">(throbbing cranial pain),</w:t>
      </w:r>
      <w:r>
        <w:t xml:space="preserve"> </w:t>
      </w:r>
      <w:r>
        <w:rPr>
          <w:i/>
          <w:iCs/>
        </w:rPr>
        <w:t xml:space="preserve">gregesi</w:t>
      </w:r>
      <w:r>
        <w:t xml:space="preserve"> </w:t>
      </w:r>
      <w:r>
        <w:t xml:space="preserve">(febrile malaise and chills),</w:t>
      </w:r>
      <w:r>
        <w:t xml:space="preserve"> </w:t>
      </w:r>
      <w:r>
        <w:rPr>
          <w:i/>
          <w:iCs/>
        </w:rPr>
        <w:t xml:space="preserve">kemeng</w:t>
      </w:r>
      <w:r>
        <w:t xml:space="preserve"> </w:t>
      </w:r>
      <w:r>
        <w:t xml:space="preserve">(deep musculoskeletal dullness), and</w:t>
      </w:r>
      <w:r>
        <w:t xml:space="preserve"> </w:t>
      </w:r>
      <w:r>
        <w:rPr>
          <w:i/>
          <w:iCs/>
        </w:rPr>
        <w:t xml:space="preserve">pegel linu</w:t>
      </w:r>
      <w:r>
        <w:t xml:space="preserve"> </w:t>
      </w:r>
      <w:r>
        <w:t xml:space="preserve">(generalized myalgia) frequently appear alongside anatomical roots such as</w:t>
      </w:r>
      <w:r>
        <w:t xml:space="preserve"> </w:t>
      </w:r>
      <w:r>
        <w:rPr>
          <w:i/>
          <w:iCs/>
        </w:rPr>
        <w:t xml:space="preserve">tenggorokan</w:t>
      </w:r>
      <w:r>
        <w:t xml:space="preserve"> </w:t>
      </w:r>
      <w:r>
        <w:t xml:space="preserve">(throat),</w:t>
      </w:r>
      <w:r>
        <w:t xml:space="preserve"> </w:t>
      </w:r>
      <w:r>
        <w:rPr>
          <w:i/>
          <w:iCs/>
        </w:rPr>
        <w:t xml:space="preserve">gigi berlubang</w:t>
      </w:r>
      <w:r>
        <w:t xml:space="preserve"> </w:t>
      </w:r>
      <w:r>
        <w:t xml:space="preserve">(cavity), and colloquial pharmaceutical abbreviations (</w:t>
      </w:r>
      <w:r>
        <w:rPr>
          <w:i/>
          <w:iCs/>
        </w:rPr>
        <w:t xml:space="preserve">arv</w:t>
      </w:r>
      <w:r>
        <w:t xml:space="preserve">,</w:t>
      </w:r>
      <w:r>
        <w:t xml:space="preserve"> </w:t>
      </w:r>
      <w:r>
        <w:rPr>
          <w:i/>
          <w:iCs/>
        </w:rPr>
        <w:t xml:space="preserve">vct</w:t>
      </w:r>
      <w:r>
        <w:t xml:space="preserve">,</w:t>
      </w:r>
      <w:r>
        <w:t xml:space="preserve"> </w:t>
      </w:r>
      <w:r>
        <w:rPr>
          <w:i/>
          <w:iCs/>
        </w:rPr>
        <w:t xml:space="preserve">pct</w:t>
      </w:r>
      <w:r>
        <w:t xml:space="preserve">). Standard natural language processing models pretrained on formal Indonesian corpora fail to capture this clinical register.</w:t>
      </w:r>
    </w:p>
    <w:p>
      <w:pPr>
        <w:pStyle w:val="BodyText"/>
      </w:pPr>
      <w:r>
        <w:t xml:space="preserve">Second, the prevailing paradigm in clinical natural language processing formulates diagnostic coding as an information extraction or generative text completion task (System-2 extraction). Under this generative approach, a large foundation model is prompted to read narrative clinical notes and autoregressively decode structured JSON schemas or diagnostic rationales. However, in outpatient primary care, generative large language models (LLMs) suffer from severe operational liabilities that impede real-world deployment [7], [8], [9]:</w:t>
      </w:r>
    </w:p>
    <w:p>
      <w:pPr>
        <w:pStyle w:val="Compact"/>
        <w:numPr>
          <w:ilvl w:val="0"/>
          <w:numId w:val="1001"/>
        </w:numPr>
      </w:pPr>
      <w:r>
        <w:rPr>
          <w:b/>
          <w:bCs/>
        </w:rPr>
        <w:t xml:space="preserve">Computational footprint</w:t>
      </w:r>
      <w:r>
        <w:t xml:space="preserve">: Generative LLMs require extensive memory (16 to 140 GB VRAM), demanding high-end enterprise servers or specialized graphics processors that are absent from public primary care facilities [7].</w:t>
      </w:r>
    </w:p>
    <w:p>
      <w:pPr>
        <w:pStyle w:val="Compact"/>
        <w:numPr>
          <w:ilvl w:val="0"/>
          <w:numId w:val="1001"/>
        </w:numPr>
      </w:pPr>
      <w:r>
        <w:rPr>
          <w:b/>
          <w:bCs/>
        </w:rPr>
        <w:t xml:space="preserve">Inference latency</w:t>
      </w:r>
      <w:r>
        <w:t xml:space="preserve">: Autoregressive decoding generates tokens sequentially, incurring multi-second latencies (2 to 8 seconds per encounter) that create unacceptable workflow bottlenecks in rapid primary care consultations.</w:t>
      </w:r>
    </w:p>
    <w:p>
      <w:pPr>
        <w:pStyle w:val="Compact"/>
        <w:numPr>
          <w:ilvl w:val="0"/>
          <w:numId w:val="1001"/>
        </w:numPr>
      </w:pPr>
      <w:r>
        <w:rPr>
          <w:b/>
          <w:bCs/>
        </w:rPr>
        <w:t xml:space="preserve">Connectivity and patient privacy</w:t>
      </w:r>
      <w:r>
        <w:t xml:space="preserve">: Cloud-hosted commercial APIs violate statutory health data sovereignty regulations and fail during frequent rural internet disruptions [7].</w:t>
      </w:r>
    </w:p>
    <w:p>
      <w:pPr>
        <w:pStyle w:val="Compact"/>
        <w:numPr>
          <w:ilvl w:val="0"/>
          <w:numId w:val="1001"/>
        </w:numPr>
      </w:pPr>
      <w:r>
        <w:rPr>
          <w:b/>
          <w:bCs/>
        </w:rPr>
        <w:t xml:space="preserve">Safety and hallucination risk</w:t>
      </w:r>
      <w:r>
        <w:t xml:space="preserve">: Generative sequence models operate across an unbounded output space and frequently hallucinate plausible-sounding, unapproved, or non-existent ICD-10 codes, invalidating automated billing pipelines and compromising clinical safety [8], [9].</w:t>
      </w:r>
    </w:p>
    <w:p>
      <w:pPr>
        <w:pStyle w:val="FirstParagraph"/>
      </w:pPr>
      <w:r>
        <w:t xml:space="preserve">To overcome these structural boundaries, we investigate an alternative paradigm that treats outpatient diagnostic coding not as open-ended text generation, but as a direct, non-autoregressive decision task over an authorized, closed candidate space of target diagnoses (</w:t>
      </w:r>
      <m:oMath>
        <m:r>
          <m:t>K</m:t>
        </m:r>
        <m:r>
          <m:rPr>
            <m:sty m:val="p"/>
          </m:rPr>
          <m:t>=</m:t>
        </m:r>
        <m:r>
          <m:t>29</m:t>
        </m:r>
      </m:oMath>
      <w:r>
        <w:t xml:space="preserve">). Following recent formulations of System-1 decision architectures [10], which draw directly on dual-process cognitive psychology paradigms of rapid pattern recognition [11], this single-pass structure evaluates candidate diagnostic logits concurrently in a single forward pass without token-by-token generation. System-1 decision engines achieve bounded, constant-time latency, operate completely offline on local clinic edge compute, and mathematically eliminate out-of-vocabulary code hallucinations.</w:t>
      </w:r>
    </w:p>
    <w:p>
      <w:pPr>
        <w:pStyle w:val="BodyText"/>
      </w:pPr>
      <w:r>
        <w:t xml:space="preserve">In this investigation, we conduct an empirical evaluation of System-1 decision architectures using 34,768 clinical encounters from an Indonesian public health centre. We benchmark four distinct native architectural topologies under an acute out-of-city population shift: a tuned classical lexical classifier (TF-IDF + Linear SVM), a dense cross-encoder transformer (Google Gemma 3 270M), a bidirectional marker-pointer encoder (ModernBERT 149M), and an ultra-compact bidirectional marker-pointer model (ELECTRA-Small 13.5M). We examine the mechanisms of clinical vocabulary expansion, evaluate cross-modal feature contributions through systematic ablation, analyze diagnostic case-mix resolutions, and demonstrate that standalone ELECTRA-Small establishes a 90.69% Top-3 diagnostic accuracy at 14.1 ms CPU latency.</w:t>
      </w:r>
    </w:p>
    <w:p>
      <w:r>
        <w:pict>
          <v:rect style="width:0;height:1.5pt" o:hralign="center" o:hrstd="t" o:hr="t"/>
        </w:pict>
      </w:r>
    </w:p>
    <w:bookmarkEnd w:id="11"/>
    <w:bookmarkStart w:id="26" w:name="_d665fb624d8133e9c3d64d45dc412757e4e32fb"/>
    <w:p>
      <w:pPr>
        <w:pStyle w:val="Heading2"/>
      </w:pPr>
      <w:r>
        <w:t xml:space="preserve">2. Materials and Methods</w:t>
      </w:r>
    </w:p>
    <w:bookmarkStart w:id="12" w:name="_4ce56051af49f03322a2faefd2b8bdd7a2ca8f5"/>
    <w:p>
      <w:pPr>
        <w:pStyle w:val="Heading3"/>
      </w:pPr>
      <w:r>
        <w:t xml:space="preserve">2.1 Study setting and ethical oversight</w:t>
      </w:r>
    </w:p>
    <w:p>
      <w:pPr>
        <w:pStyle w:val="FirstParagraph"/>
      </w:pPr>
      <w:r>
        <w:t xml:space="preserve">Clinical data were extracted from the electronic health record (EHR) database of Puskesmas Poncol, a public primary community health centre in Semarang, Central Java, Indonesia. Puskesmas Poncol delivers primary ambulatory medical services across nine urban sub-districts (</w:t>
      </w:r>
      <w:r>
        <w:rPr>
          <w:i/>
          <w:iCs/>
        </w:rPr>
        <w:t xml:space="preserve">kelurahan</w:t>
      </w:r>
      <w:r>
        <w:t xml:space="preserve">) and serves as an established regional municipal centre for voluntary counselling and testing (VCT) and antiretroviral (ARV) therapy distribution for people living with HIV across Central Java [12].</w:t>
      </w:r>
    </w:p>
    <w:p>
      <w:pPr>
        <w:pStyle w:val="BodyText"/>
      </w:pPr>
      <w:r>
        <w:t xml:space="preserve">All patient records were retrospectively de-identified in strict compliance with national health data privacy regulations before analysis. Unique registration numbers (</w:t>
      </w:r>
      <w:r>
        <w:rPr>
          <w:i/>
          <w:iCs/>
        </w:rPr>
        <w:t xml:space="preserve">no_reg</w:t>
      </w:r>
      <w:r>
        <w:t xml:space="preserve">) were converted to anonymous hashes used solely to prevent patient-level overlap across cross-validation splits. Village administrative codes (</w:t>
      </w:r>
      <w:r>
        <w:rPr>
          <w:i/>
          <w:iCs/>
        </w:rPr>
        <w:t xml:space="preserve">kdesa</w:t>
      </w:r>
      <w:r>
        <w:t xml:space="preserve">) were masked with synthetic alphanumeric identifiers. The investigation used secondary administrative health data and involved no direct patient intervention.</w:t>
      </w:r>
    </w:p>
    <w:bookmarkEnd w:id="12"/>
    <w:bookmarkStart w:id="16" w:name="_b79a40c76cb05a1300cb3fe5e36082cafcb9427"/>
    <w:p>
      <w:pPr>
        <w:pStyle w:val="Heading3"/>
      </w:pPr>
      <w:r>
        <w:t xml:space="preserve">2.2 Dataset description and cohort selection</w:t>
      </w:r>
    </w:p>
    <w:p>
      <w:pPr>
        <w:pStyle w:val="FirstParagraph"/>
      </w:pPr>
      <w:r>
        <w:t xml:space="preserve">The source dataset comprised</w:t>
      </w:r>
      <w:r>
        <w:t xml:space="preserve"> </w:t>
      </w:r>
      <m:oMath>
        <m:r>
          <m:t>N</m:t>
        </m:r>
        <m:r>
          <m:rPr>
            <m:sty m:val="p"/>
          </m:rPr>
          <m:t>=</m:t>
        </m:r>
        <m:r>
          <m:t>34</m:t>
        </m:r>
        <m:r>
          <m:rPr>
            <m:sty m:val="p"/>
          </m:rPr>
          <m:t>,</m:t>
        </m:r>
        <m:r>
          <m:t>768</m:t>
        </m:r>
      </m:oMath>
      <w:r>
        <w:t xml:space="preserve"> </w:t>
      </w:r>
      <w:r>
        <w:t xml:space="preserve">consecutive outpatient consultations documented between 2 January 2024 and 31 December 2024. Each record contained:</w:t>
      </w:r>
    </w:p>
    <w:p>
      <w:pPr>
        <w:pStyle w:val="Compact"/>
        <w:numPr>
          <w:ilvl w:val="0"/>
          <w:numId w:val="1002"/>
        </w:numPr>
      </w:pPr>
      <w:r>
        <w:rPr>
          <w:b/>
          <w:bCs/>
        </w:rPr>
        <w:t xml:space="preserve">Clinical anamnesis</w:t>
      </w:r>
      <w:r>
        <w:t xml:space="preserve"> </w:t>
      </w:r>
      <w:r>
        <w:t xml:space="preserve">(</w:t>
      </w:r>
      <w:r>
        <w:rPr>
          <w:i/>
          <w:iCs/>
        </w:rPr>
        <w:t xml:space="preserve">anamnesa</w:t>
      </w:r>
      <w:r>
        <w:t xml:space="preserve">): unstructured clinician notes recording patient chief complaints, history of present illness, and physical examination findings in code-mixed Bahasa Indonesia and Javanese.</w:t>
      </w:r>
    </w:p>
    <w:p>
      <w:pPr>
        <w:pStyle w:val="Compact"/>
        <w:numPr>
          <w:ilvl w:val="0"/>
          <w:numId w:val="1002"/>
        </w:numPr>
      </w:pPr>
      <w:r>
        <w:rPr>
          <w:b/>
          <w:bCs/>
        </w:rPr>
        <w:t xml:space="preserve">Physiological measurements</w:t>
      </w:r>
      <w:r>
        <w:t xml:space="preserve">: systolic blood pressure (</w:t>
      </w:r>
      <w:r>
        <w:rPr>
          <w:i/>
          <w:iCs/>
        </w:rPr>
        <w:t xml:space="preserve">sistole</w:t>
      </w:r>
      <w:r>
        <w:t xml:space="preserve">, mmHg), diastolic blood pressure (</w:t>
      </w:r>
      <w:r>
        <w:rPr>
          <w:i/>
          <w:iCs/>
        </w:rPr>
        <w:t xml:space="preserve">diastole</w:t>
      </w:r>
      <w:r>
        <w:t xml:space="preserve">, mmHg), body weight (</w:t>
      </w:r>
      <w:r>
        <w:rPr>
          <w:i/>
          <w:iCs/>
        </w:rPr>
        <w:t xml:space="preserve">bb</w:t>
      </w:r>
      <w:r>
        <w:t xml:space="preserve">, kg), and height (</w:t>
      </w:r>
      <w:r>
        <w:rPr>
          <w:i/>
          <w:iCs/>
        </w:rPr>
        <w:t xml:space="preserve">tb</w:t>
      </w:r>
      <w:r>
        <w:t xml:space="preserve">, cm).</w:t>
      </w:r>
    </w:p>
    <w:p>
      <w:pPr>
        <w:pStyle w:val="Compact"/>
        <w:numPr>
          <w:ilvl w:val="0"/>
          <w:numId w:val="1002"/>
        </w:numPr>
      </w:pPr>
      <w:r>
        <w:rPr>
          <w:b/>
          <w:bCs/>
        </w:rPr>
        <w:t xml:space="preserve">Patient demographics</w:t>
      </w:r>
      <w:r>
        <w:t xml:space="preserve">: date of birth (</w:t>
      </w:r>
      <w:r>
        <w:rPr>
          <w:i/>
          <w:iCs/>
        </w:rPr>
        <w:t xml:space="preserve">tg_lahir</w:t>
      </w:r>
      <w:r>
        <w:t xml:space="preserve">), biological sex (</w:t>
      </w:r>
      <w:r>
        <w:rPr>
          <w:i/>
          <w:iCs/>
        </w:rPr>
        <w:t xml:space="preserve">jkl</w:t>
      </w:r>
      <w:r>
        <w:t xml:space="preserve">).</w:t>
      </w:r>
    </w:p>
    <w:p>
      <w:pPr>
        <w:pStyle w:val="Compact"/>
        <w:numPr>
          <w:ilvl w:val="0"/>
          <w:numId w:val="1002"/>
        </w:numPr>
      </w:pPr>
      <w:r>
        <w:rPr>
          <w:b/>
          <w:bCs/>
        </w:rPr>
        <w:t xml:space="preserve">Administrative metadata</w:t>
      </w:r>
      <w:r>
        <w:t xml:space="preserve">: encounter date (</w:t>
      </w:r>
      <w:r>
        <w:rPr>
          <w:i/>
          <w:iCs/>
        </w:rPr>
        <w:t xml:space="preserve">tanggal</w:t>
      </w:r>
      <w:r>
        <w:t xml:space="preserve">), payment scheme (</w:t>
      </w:r>
      <w:r>
        <w:rPr>
          <w:i/>
          <w:iCs/>
        </w:rPr>
        <w:t xml:space="preserve">cara_bayar</w:t>
      </w:r>
      <w:r>
        <w:t xml:space="preserve">), and geographic residence identifier (</w:t>
      </w:r>
      <w:r>
        <w:rPr>
          <w:i/>
          <w:iCs/>
        </w:rPr>
        <w:t xml:space="preserve">kdesa</w:t>
      </w:r>
      <w:r>
        <w:t xml:space="preserve">).</w:t>
      </w:r>
    </w:p>
    <w:p>
      <w:pPr>
        <w:pStyle w:val="Compact"/>
        <w:numPr>
          <w:ilvl w:val="0"/>
          <w:numId w:val="1002"/>
        </w:numPr>
      </w:pPr>
      <w:r>
        <w:rPr>
          <w:b/>
          <w:bCs/>
        </w:rPr>
        <w:t xml:space="preserve">Diagnostic codes</w:t>
      </w:r>
      <w:r>
        <w:t xml:space="preserve"> </w:t>
      </w:r>
      <w:r>
        <w:t xml:space="preserve">(</w:t>
      </w:r>
      <w:r>
        <w:rPr>
          <w:i/>
          <w:iCs/>
        </w:rPr>
        <w:t xml:space="preserve">kode_penyakit</w:t>
      </w:r>
      <w:r>
        <w:t xml:space="preserve">): recorded ICD-10 diagnostic codes.</w:t>
      </w:r>
    </w:p>
    <w:p>
      <w:pPr>
        <w:pStyle w:val="FirstParagraph"/>
      </w:pPr>
      <w:r>
        <w:t xml:space="preserve">Among the 34,768 visits, 7,243 encounters (20.8%) contained multiple diagnostic codes; in accordance with primary care reporting conventions, the first-listed diagnostic code was designated as the primary classification target. The complete dataset contained 884 distinct primary codes. To construct a representative diagnostic action space reflecting primary care volume, a cumulative frequency threshold was applied, retaining the top 29 ICD-10 categories covering 75.1% of all clinic consultations. This yielded a primary modelling cohort of 26,110 encounters across 9,950 unique patients (mean 2.62 visits per patient). Numeric indicators outside physiologically plausible ranges were trimmed to valid biological boundaries (systolic pressure 40 to 300 mmHg, diastolic pressure 30 to 200 mmHg, body weight 2 to 250 kg, height 40 to 220 cm).</w:t>
      </w:r>
    </w:p>
    <w:p>
      <w:pPr>
        <w:pStyle w:val="BodyText"/>
      </w:pPr>
      <w:r>
        <w:t xml:space="preserve">Figure 1 illustrates the patient flow, cohort attrition, and geographic partitioning scheme.</w:t>
      </w:r>
    </w:p>
    <w:p>
      <w:pPr>
        <w:pStyle w:val="CaptionedFigure"/>
      </w:pPr>
      <w:r>
        <w:drawing>
          <wp:inline>
            <wp:extent cx="5334000" cy="3364438"/>
            <wp:effectExtent b="0" l="0" r="0" t="0"/>
            <wp:docPr descr="Figure 1: Patient Attrition and Geographic Cohort Partition Flowchart" title="" id="14" name="Picture"/>
            <a:graphic>
              <a:graphicData uri="http://schemas.openxmlformats.org/drawingml/2006/picture">
                <pic:pic>
                  <pic:nvPicPr>
                    <pic:cNvPr descr="./figures/figure1_patient_attrition.png" id="15" name="Picture"/>
                    <pic:cNvPicPr>
                      <a:picLocks noChangeArrowheads="1" noChangeAspect="1"/>
                    </pic:cNvPicPr>
                  </pic:nvPicPr>
                  <pic:blipFill>
                    <a:blip r:embed="rId13"/>
                    <a:stretch>
                      <a:fillRect/>
                    </a:stretch>
                  </pic:blipFill>
                  <pic:spPr bwMode="auto">
                    <a:xfrm>
                      <a:off x="0" y="0"/>
                      <a:ext cx="5334000" cy="3364438"/>
                    </a:xfrm>
                    <a:prstGeom prst="rect">
                      <a:avLst/>
                    </a:prstGeom>
                    <a:noFill/>
                    <a:ln w="9525">
                      <a:noFill/>
                      <a:headEnd/>
                      <a:tailEnd/>
                    </a:ln>
                  </pic:spPr>
                </pic:pic>
              </a:graphicData>
            </a:graphic>
          </wp:inline>
        </w:drawing>
      </w:r>
    </w:p>
    <w:p>
      <w:pPr>
        <w:pStyle w:val="ImageCaption"/>
      </w:pPr>
      <w:r>
        <w:t xml:space="preserve">Figure 1: Patient Attrition and Geographic Cohort Partition Flowchart</w:t>
      </w:r>
    </w:p>
    <w:p>
      <w:pPr>
        <w:pStyle w:val="FirstParagraph"/>
      </w:pPr>
      <w:r>
        <w:rPr>
          <w:b/>
          <w:bCs/>
        </w:rPr>
        <w:t xml:space="preserve">Figure 1.</w:t>
      </w:r>
      <w:r>
        <w:t xml:space="preserve"> </w:t>
      </w:r>
      <w:r>
        <w:t xml:space="preserve">Flowchart of patient encounter attrition, diagnostic code frequency filtering, and geographic cohort partitioning for the out-of-city population shift benchmark.</w:t>
      </w:r>
    </w:p>
    <w:p>
      <w:pPr>
        <w:pStyle w:val="BodyText"/>
      </w:pPr>
      <w:r>
        <w:t xml:space="preserve">Table 1 summarizes the baseline sociodemographic and clinical characteristics across the resident training cohort and the out-of-city evaluation cohort.</w:t>
      </w:r>
    </w:p>
    <w:p>
      <w:pPr>
        <w:pStyle w:val="BodyText"/>
      </w:pPr>
      <w:r>
        <w:rPr>
          <w:b/>
          <w:bCs/>
        </w:rPr>
        <w:t xml:space="preserve">Table 1.</w:t>
      </w:r>
      <w:r>
        <w:t xml:space="preserve"> </w:t>
      </w:r>
      <w:r>
        <w:t xml:space="preserve">Baseline sociodemographic and clinical characteristics across resident and out-of-city cohorts (</w:t>
      </w:r>
      <m:oMath>
        <m:r>
          <m:t>n</m:t>
        </m:r>
        <m:r>
          <m:rPr>
            <m:sty m:val="p"/>
          </m:rPr>
          <m:t>=</m:t>
        </m:r>
        <m:r>
          <m:t>26</m:t>
        </m:r>
        <m:r>
          <m:rPr>
            <m:sty m:val="p"/>
          </m:rPr>
          <m:t>,</m:t>
        </m:r>
        <m:r>
          <m:t>110</m:t>
        </m:r>
      </m:oMath>
      <w:r>
        <w:t xml:space="preserve">).</w:t>
      </w:r>
    </w:p>
    <w:tbl>
      <w:tblPr>
        <w:tblStyle w:val="Table"/>
        <w:tblW w:type="pct" w:w="5000"/>
        <w:tblLayout w:type="fixed"/>
        <w:tblLook w:firstRow="1" w:lastRow="0" w:firstColumn="0" w:lastColumn="0" w:noHBand="0" w:noVBand="0" w:val="0020"/>
      </w:tblPr>
      <w:tblGrid>
        <w:gridCol w:w="2698"/>
        <w:gridCol w:w="2581"/>
        <w:gridCol w:w="2640"/>
      </w:tblGrid>
      <w:tr>
        <w:trPr>
          <w:tblHeader w:val="on"/>
        </w:trPr>
        <w:tc>
          <w:tcPr/>
          <w:p>
            <w:pPr>
              <w:pStyle w:val="Compact"/>
            </w:pPr>
            <w:r>
              <w:t xml:space="preserve">Characteristic</w:t>
            </w:r>
          </w:p>
        </w:tc>
        <w:tc>
          <w:tcPr/>
          <w:p>
            <w:pPr>
              <w:pStyle w:val="Compact"/>
              <w:jc w:val="right"/>
            </w:pPr>
            <w:r>
              <w:t xml:space="preserve">Local Resident Cohort (Semarang City)</w:t>
            </w:r>
          </w:p>
        </w:tc>
        <w:tc>
          <w:tcPr/>
          <w:p>
            <w:pPr>
              <w:pStyle w:val="Compact"/>
              <w:jc w:val="right"/>
            </w:pPr>
            <w:r>
              <w:t xml:space="preserve">Out-of-City Cohort (</w:t>
            </w:r>
            <w:r>
              <w:rPr>
                <w:rStyle w:val="VerbatimChar"/>
              </w:rPr>
              <w:t xml:space="preserve">kdesa = XXX</w:t>
            </w:r>
            <w:r>
              <w:t xml:space="preserve">)</w:t>
            </w:r>
          </w:p>
        </w:tc>
      </w:tr>
      <w:tr>
        <w:tc>
          <w:tcPr/>
          <w:p>
            <w:pPr>
              <w:pStyle w:val="Compact"/>
            </w:pPr>
            <w:r>
              <w:rPr>
                <w:b/>
                <w:bCs/>
              </w:rPr>
              <w:t xml:space="preserve">Total Encounters (</w:t>
            </w:r>
            <m:oMath>
              <m:r>
                <m:t>n</m:t>
              </m:r>
            </m:oMath>
            <w:r>
              <w:rPr>
                <w:b/>
                <w:bCs/>
              </w:rPr>
              <w:t xml:space="preserve">)</w:t>
            </w:r>
          </w:p>
        </w:tc>
        <w:tc>
          <w:tcPr/>
          <w:p>
            <w:pPr>
              <w:pStyle w:val="Compact"/>
              <w:jc w:val="right"/>
            </w:pPr>
            <w:r>
              <w:t xml:space="preserve">22,352</w:t>
            </w:r>
          </w:p>
        </w:tc>
        <w:tc>
          <w:tcPr/>
          <w:p>
            <w:pPr>
              <w:pStyle w:val="Compact"/>
              <w:jc w:val="right"/>
            </w:pPr>
            <w:r>
              <w:t xml:space="preserve">3,758</w:t>
            </w:r>
          </w:p>
        </w:tc>
      </w:tr>
      <w:tr>
        <w:tc>
          <w:tcPr/>
          <w:p>
            <w:pPr>
              <w:pStyle w:val="Compact"/>
            </w:pPr>
            <w:r>
              <w:rPr>
                <w:b/>
                <w:bCs/>
              </w:rPr>
              <w:t xml:space="preserve">Unique Patients (</w:t>
            </w:r>
            <m:oMath>
              <m:r>
                <m:t>n</m:t>
              </m:r>
            </m:oMath>
            <w:r>
              <w:rPr>
                <w:b/>
                <w:bCs/>
              </w:rPr>
              <w:t xml:space="preserve">)</w:t>
            </w:r>
          </w:p>
        </w:tc>
        <w:tc>
          <w:tcPr/>
          <w:p>
            <w:pPr>
              <w:pStyle w:val="Compact"/>
              <w:jc w:val="right"/>
            </w:pPr>
            <w:r>
              <w:t xml:space="preserve">8,246</w:t>
            </w:r>
          </w:p>
        </w:tc>
        <w:tc>
          <w:tcPr/>
          <w:p>
            <w:pPr>
              <w:pStyle w:val="Compact"/>
              <w:jc w:val="right"/>
            </w:pPr>
            <w:r>
              <w:t xml:space="preserve">1,704</w:t>
            </w:r>
          </w:p>
        </w:tc>
      </w:tr>
      <w:tr>
        <w:tc>
          <w:tcPr/>
          <w:p>
            <w:pPr>
              <w:pStyle w:val="Compact"/>
            </w:pPr>
            <w:r>
              <w:rPr>
                <w:b/>
                <w:bCs/>
              </w:rPr>
              <w:t xml:space="preserve">Mean Visits per Patient</w:t>
            </w:r>
          </w:p>
        </w:tc>
        <w:tc>
          <w:tcPr/>
          <w:p>
            <w:pPr>
              <w:pStyle w:val="Compact"/>
              <w:jc w:val="right"/>
            </w:pPr>
            <w:r>
              <w:t xml:space="preserve">2.71</w:t>
            </w:r>
          </w:p>
        </w:tc>
        <w:tc>
          <w:tcPr/>
          <w:p>
            <w:pPr>
              <w:pStyle w:val="Compact"/>
              <w:jc w:val="right"/>
            </w:pPr>
            <w:r>
              <w:t xml:space="preserve">2.21</w:t>
            </w:r>
          </w:p>
        </w:tc>
      </w:tr>
      <w:tr>
        <w:tc>
          <w:tcPr/>
          <w:p>
            <w:pPr>
              <w:pStyle w:val="Compact"/>
            </w:pPr>
            <w:r>
              <w:rPr>
                <w:b/>
                <w:bCs/>
              </w:rPr>
              <w:t xml:space="preserve">Female Sex (%)</w:t>
            </w:r>
          </w:p>
        </w:tc>
        <w:tc>
          <w:tcPr/>
          <w:p>
            <w:pPr>
              <w:pStyle w:val="Compact"/>
              <w:jc w:val="right"/>
            </w:pPr>
            <w:r>
              <w:t xml:space="preserve">59.9%</w:t>
            </w:r>
          </w:p>
        </w:tc>
        <w:tc>
          <w:tcPr/>
          <w:p>
            <w:pPr>
              <w:pStyle w:val="Compact"/>
              <w:jc w:val="right"/>
            </w:pPr>
            <w:r>
              <w:t xml:space="preserve">41.5%</w:t>
            </w:r>
          </w:p>
        </w:tc>
      </w:tr>
      <w:tr>
        <w:tc>
          <w:tcPr/>
          <w:p>
            <w:pPr>
              <w:pStyle w:val="Compact"/>
            </w:pPr>
            <w:r>
              <w:rPr>
                <w:b/>
                <w:bCs/>
              </w:rPr>
              <w:t xml:space="preserve">Median Age (Years, IQR)</w:t>
            </w:r>
          </w:p>
        </w:tc>
        <w:tc>
          <w:tcPr/>
          <w:p>
            <w:pPr>
              <w:pStyle w:val="Compact"/>
              <w:jc w:val="right"/>
            </w:pPr>
            <w:r>
              <w:t xml:space="preserve">37.5 (17.9-55.8)</w:t>
            </w:r>
          </w:p>
        </w:tc>
        <w:tc>
          <w:tcPr/>
          <w:p>
            <w:pPr>
              <w:pStyle w:val="Compact"/>
              <w:jc w:val="right"/>
            </w:pPr>
            <w:r>
              <w:t xml:space="preserve">27.3 (22.9-34.6)</w:t>
            </w:r>
          </w:p>
        </w:tc>
      </w:tr>
      <w:tr>
        <w:tc>
          <w:tcPr/>
          <w:p>
            <w:pPr>
              <w:pStyle w:val="Compact"/>
            </w:pPr>
            <w:r>
              <w:rPr>
                <w:b/>
                <w:bCs/>
              </w:rPr>
              <w:t xml:space="preserve">Paediatric Encounters (&lt;18 years, %)</w:t>
            </w:r>
          </w:p>
        </w:tc>
        <w:tc>
          <w:tcPr/>
          <w:p>
            <w:pPr>
              <w:pStyle w:val="Compact"/>
              <w:jc w:val="right"/>
            </w:pPr>
            <w:r>
              <w:t xml:space="preserve">25.1%</w:t>
            </w:r>
          </w:p>
        </w:tc>
        <w:tc>
          <w:tcPr/>
          <w:p>
            <w:pPr>
              <w:pStyle w:val="Compact"/>
              <w:jc w:val="right"/>
            </w:pPr>
            <w:r>
              <w:t xml:space="preserve">8.5%</w:t>
            </w:r>
          </w:p>
        </w:tc>
      </w:tr>
      <w:tr>
        <w:tc>
          <w:tcPr/>
          <w:p>
            <w:pPr>
              <w:pStyle w:val="Compact"/>
            </w:pPr>
            <w:r>
              <w:rPr>
                <w:b/>
                <w:bCs/>
              </w:rPr>
              <w:t xml:space="preserve">Systolic BP (Mean ± SD, mmHg)</w:t>
            </w:r>
          </w:p>
        </w:tc>
        <w:tc>
          <w:tcPr/>
          <w:p>
            <w:pPr>
              <w:pStyle w:val="Compact"/>
              <w:jc w:val="right"/>
            </w:pPr>
            <w:r>
              <w:t xml:space="preserve">121.5 ± 22.5</w:t>
            </w:r>
          </w:p>
        </w:tc>
        <w:tc>
          <w:tcPr/>
          <w:p>
            <w:pPr>
              <w:pStyle w:val="Compact"/>
              <w:jc w:val="right"/>
            </w:pPr>
            <w:r>
              <w:t xml:space="preserve">120.9 ± 16.8</w:t>
            </w:r>
          </w:p>
        </w:tc>
      </w:tr>
      <w:tr>
        <w:tc>
          <w:tcPr/>
          <w:p>
            <w:pPr>
              <w:pStyle w:val="Compact"/>
            </w:pPr>
            <w:r>
              <w:rPr>
                <w:b/>
                <w:bCs/>
              </w:rPr>
              <w:t xml:space="preserve">Diastolic BP (Mean ± SD, mmHg)</w:t>
            </w:r>
          </w:p>
        </w:tc>
        <w:tc>
          <w:tcPr/>
          <w:p>
            <w:pPr>
              <w:pStyle w:val="Compact"/>
              <w:jc w:val="right"/>
            </w:pPr>
            <w:r>
              <w:t xml:space="preserve">76.5 ± 12.6</w:t>
            </w:r>
          </w:p>
        </w:tc>
        <w:tc>
          <w:tcPr/>
          <w:p>
            <w:pPr>
              <w:pStyle w:val="Compact"/>
              <w:jc w:val="right"/>
            </w:pPr>
            <w:r>
              <w:t xml:space="preserve">77.0 ± 10.7</w:t>
            </w:r>
          </w:p>
        </w:tc>
      </w:tr>
      <w:tr>
        <w:tc>
          <w:tcPr/>
          <w:p>
            <w:pPr>
              <w:pStyle w:val="Compact"/>
            </w:pPr>
            <w:r>
              <w:rPr>
                <w:b/>
                <w:bCs/>
              </w:rPr>
              <w:t xml:space="preserve">Adult Body Mass Index (Mean ± SD, kg/m²)</w:t>
            </w:r>
          </w:p>
        </w:tc>
        <w:tc>
          <w:tcPr/>
          <w:p>
            <w:pPr>
              <w:pStyle w:val="Compact"/>
              <w:jc w:val="right"/>
            </w:pPr>
            <w:r>
              <w:t xml:space="preserve">24.9 ± 4.9</w:t>
            </w:r>
          </w:p>
        </w:tc>
        <w:tc>
          <w:tcPr/>
          <w:p>
            <w:pPr>
              <w:pStyle w:val="Compact"/>
              <w:jc w:val="right"/>
            </w:pPr>
            <w:r>
              <w:t xml:space="preserve">23.2 ± 3.9</w:t>
            </w:r>
          </w:p>
        </w:tc>
      </w:tr>
      <w:tr>
        <w:tc>
          <w:tcPr/>
          <w:p>
            <w:pPr>
              <w:pStyle w:val="Compact"/>
            </w:pPr>
            <w:r>
              <w:rPr>
                <w:b/>
                <w:bCs/>
              </w:rPr>
              <w:t xml:space="preserve">Top Diagnosis 1</w:t>
            </w:r>
          </w:p>
        </w:tc>
        <w:tc>
          <w:tcPr/>
          <w:p>
            <w:pPr>
              <w:pStyle w:val="Compact"/>
              <w:jc w:val="right"/>
            </w:pPr>
            <w:r>
              <w:t xml:space="preserve">J00 Acute Nasopharyngitis (17.9%)</w:t>
            </w:r>
          </w:p>
        </w:tc>
        <w:tc>
          <w:tcPr/>
          <w:p>
            <w:pPr>
              <w:pStyle w:val="Compact"/>
              <w:jc w:val="right"/>
            </w:pPr>
            <w:r>
              <w:t xml:space="preserve">Z21 Asymptomatic HIV Status (30.6%)</w:t>
            </w:r>
          </w:p>
        </w:tc>
      </w:tr>
      <w:tr>
        <w:tc>
          <w:tcPr/>
          <w:p>
            <w:pPr>
              <w:pStyle w:val="Compact"/>
            </w:pPr>
            <w:r>
              <w:rPr>
                <w:b/>
                <w:bCs/>
              </w:rPr>
              <w:t xml:space="preserve">Top Diagnosis 2</w:t>
            </w:r>
          </w:p>
        </w:tc>
        <w:tc>
          <w:tcPr/>
          <w:p>
            <w:pPr>
              <w:pStyle w:val="Compact"/>
              <w:jc w:val="right"/>
            </w:pPr>
            <w:r>
              <w:t xml:space="preserve">I10 Essential Hypertension (14.1%)</w:t>
            </w:r>
          </w:p>
        </w:tc>
        <w:tc>
          <w:tcPr/>
          <w:p>
            <w:pPr>
              <w:pStyle w:val="Compact"/>
              <w:jc w:val="right"/>
            </w:pPr>
            <w:r>
              <w:t xml:space="preserve">J00 Acute Nasopharyngitis (13.0%)</w:t>
            </w:r>
          </w:p>
        </w:tc>
      </w:tr>
      <w:tr>
        <w:tc>
          <w:tcPr/>
          <w:p>
            <w:pPr>
              <w:pStyle w:val="Compact"/>
            </w:pPr>
            <w:r>
              <w:rPr>
                <w:b/>
                <w:bCs/>
              </w:rPr>
              <w:t xml:space="preserve">Top Diagnosis 3</w:t>
            </w:r>
          </w:p>
        </w:tc>
        <w:tc>
          <w:tcPr/>
          <w:p>
            <w:pPr>
              <w:pStyle w:val="Compact"/>
              <w:jc w:val="right"/>
            </w:pPr>
            <w:r>
              <w:t xml:space="preserve">J06 Acute Upper Respiratory Infection (12.2%)</w:t>
            </w:r>
          </w:p>
        </w:tc>
        <w:tc>
          <w:tcPr/>
          <w:p>
            <w:pPr>
              <w:pStyle w:val="Compact"/>
              <w:jc w:val="right"/>
            </w:pPr>
            <w:r>
              <w:t xml:space="preserve">J06 Acute Upper Respiratory Infection (7.9%)</w:t>
            </w:r>
          </w:p>
        </w:tc>
      </w:tr>
    </w:tbl>
    <w:bookmarkEnd w:id="16"/>
    <w:bookmarkStart w:id="17" w:name="_9a9c677c9df6a1f0625f8998512b455091bb47a"/>
    <w:p>
      <w:pPr>
        <w:pStyle w:val="Heading3"/>
      </w:pPr>
      <w:r>
        <w:t xml:space="preserve">2.3 Evaluation design: Out-of-city population shift benchmark</w:t>
      </w:r>
    </w:p>
    <w:p>
      <w:pPr>
        <w:pStyle w:val="FirstParagraph"/>
      </w:pPr>
      <w:r>
        <w:t xml:space="preserve">To evaluate model generalisation under authentic clinical conditions, we evaluated performance on an out-of-city population shift benchmark (</w:t>
      </w:r>
      <w:r>
        <w:rPr>
          <w:rStyle w:val="VerbatimChar"/>
        </w:rPr>
        <w:t xml:space="preserve">kdesa = XXX</w:t>
      </w:r>
      <w:r>
        <w:t xml:space="preserve">,</w:t>
      </w:r>
      <w:r>
        <w:t xml:space="preserve"> </w:t>
      </w:r>
      <m:oMath>
        <m:r>
          <m:t>n</m:t>
        </m:r>
        <m:r>
          <m:rPr>
            <m:sty m:val="p"/>
          </m:rPr>
          <m:t>=</m:t>
        </m:r>
        <m:r>
          <m:t>3</m:t>
        </m:r>
        <m:r>
          <m:rPr>
            <m:sty m:val="p"/>
          </m:rPr>
          <m:t>,</m:t>
        </m:r>
        <m:r>
          <m:t>758</m:t>
        </m:r>
      </m:oMath>
      <w:r>
        <w:t xml:space="preserve">), adhering to established guidelines for validating clinical algorithms under population distribution shift [13]. While standard randomly partitioned cross-validation evaluates models on encounters drawn from an identical population distribution, the out-of-city cohort consists exclusively of non-resident commuters, migrant workers, and clinical referrals originating outside Semarang City.</w:t>
      </w:r>
    </w:p>
    <w:p>
      <w:pPr>
        <w:pStyle w:val="BodyText"/>
      </w:pPr>
      <w:r>
        <w:t xml:space="preserve">This out-of-city partition introduces a profound demographic and epidemiological distribution shift:</w:t>
      </w:r>
    </w:p>
    <w:p>
      <w:pPr>
        <w:pStyle w:val="Compact"/>
        <w:numPr>
          <w:ilvl w:val="0"/>
          <w:numId w:val="1003"/>
        </w:numPr>
      </w:pPr>
      <w:r>
        <w:rPr>
          <w:b/>
          <w:bCs/>
        </w:rPr>
        <w:t xml:space="preserve">Prevalence shift</w:t>
      </w:r>
      <w:r>
        <w:t xml:space="preserve">: Due to municipal referral concentration for HIV management, asymptomatic HIV infection status (Z21) constitutes 30.6% of out-of-city visits, compared to 4.6% among local residents.</w:t>
      </w:r>
    </w:p>
    <w:p>
      <w:pPr>
        <w:pStyle w:val="Compact"/>
        <w:numPr>
          <w:ilvl w:val="0"/>
          <w:numId w:val="1003"/>
        </w:numPr>
      </w:pPr>
      <w:r>
        <w:rPr>
          <w:b/>
          <w:bCs/>
        </w:rPr>
        <w:t xml:space="preserve">Demographic shift</w:t>
      </w:r>
      <w:r>
        <w:t xml:space="preserve">: Out-of-city patients are substantially younger (median age 27.2 versus 35.8 years) and predominantly male (55.6% versus 41.3%).</w:t>
      </w:r>
    </w:p>
    <w:p>
      <w:pPr>
        <w:pStyle w:val="Compact"/>
        <w:numPr>
          <w:ilvl w:val="0"/>
          <w:numId w:val="1003"/>
        </w:numPr>
      </w:pPr>
      <w:r>
        <w:rPr>
          <w:b/>
          <w:bCs/>
        </w:rPr>
        <w:t xml:space="preserve">Data independence</w:t>
      </w:r>
      <w:r>
        <w:t xml:space="preserve">: All 17,163 resident encounters formed the training set (</w:t>
      </w:r>
      <w:r>
        <w:rPr>
          <w:rStyle w:val="VerbatimChar"/>
        </w:rPr>
        <w:t xml:space="preserve">runs/xxx-holdout-id/data/train.jsonl</w:t>
      </w:r>
      <w:r>
        <w:t xml:space="preserve">), 1,808 resident encounters formed the calibration development set (</w:t>
      </w:r>
      <w:r>
        <w:rPr>
          <w:rStyle w:val="VerbatimChar"/>
        </w:rPr>
        <w:t xml:space="preserve">development.jsonl</w:t>
      </w:r>
      <w:r>
        <w:t xml:space="preserve">), and all 3,758 out-of-city visits were strictly isolated as the held-out test cohort (</w:t>
      </w:r>
      <w:r>
        <w:rPr>
          <w:rStyle w:val="VerbatimChar"/>
        </w:rPr>
        <w:t xml:space="preserve">test.jsonl</w:t>
      </w:r>
      <w:r>
        <w:t xml:space="preserve">). Zero patient overlap exists between splits.</w:t>
      </w:r>
    </w:p>
    <w:bookmarkEnd w:id="17"/>
    <w:bookmarkStart w:id="18" w:name="_020b1e588b41bf82c286df164e272d8df65e17c"/>
    <w:p>
      <w:pPr>
        <w:pStyle w:val="Heading3"/>
      </w:pPr>
      <w:r>
        <w:t xml:space="preserve">2.4 Diagnostic action space and clinical criteria</w:t>
      </w:r>
    </w:p>
    <w:p>
      <w:pPr>
        <w:pStyle w:val="FirstParagraph"/>
      </w:pPr>
      <w:r>
        <w:t xml:space="preserve">The target classification space comprises</w:t>
      </w:r>
      <w:r>
        <w:t xml:space="preserve"> </w:t>
      </w:r>
      <m:oMath>
        <m:r>
          <m:t>K</m:t>
        </m:r>
        <m:r>
          <m:rPr>
            <m:sty m:val="p"/>
          </m:rPr>
          <m:t>=</m:t>
        </m:r>
        <m:r>
          <m:t>29</m:t>
        </m:r>
      </m:oMath>
      <w:r>
        <w:t xml:space="preserve"> </w:t>
      </w:r>
      <w:r>
        <w:t xml:space="preserve">authorized primary ICD-10 categories. Each category was paired with its standardized clinical description and diagnostic criteria in Bahasa Indonesia (and corresponding English descriptions). The inventory spans upper respiratory infections (J00, J02, J06), chronic non-communicable diseases (I10 hypertension, E11 type 2 diabetes), oral pathology (K04.0 pulpitis, K04.1 necrosis of pulp), gastrointestinal complaints (A09 gastroenteritis, K29 gastritis, K29.7 unspecified gastritis, K30 dyspepsia), dermatological conditions (L30 dermatitis), musculoskeletal syndromes (M13 arthritis, M79.1 myalgia), maternal and reproductive care (Z34 normal pregnancy, Z35 high-risk pregnancy, Z30.4 contraceptive management), infectious diseases (A15 pulmonary tuberculosis, B26 mumps, Z21 asymptomatic HIV status), ophthalmology (H10 conjunctivitis), vestibulopathy (H81.3 peripheral vertigo), non-specific acute presentations (R50 fever, R51 headache, R10.4 abdominal pain, R11 nausea/vomiting), general administrative examinations (Z00 general medical checkup, Z48 surgical follow-up), and childhood immunization (Z27.3).</w:t>
      </w:r>
    </w:p>
    <w:bookmarkEnd w:id="18"/>
    <w:bookmarkStart w:id="23" w:name="_5b51a80d4ed94d0ff6ef6601e0f1d0a9fe44a8f"/>
    <w:p>
      <w:pPr>
        <w:pStyle w:val="Heading3"/>
      </w:pPr>
      <w:r>
        <w:t xml:space="preserve">2.5 Model selection reasoning and architectural topologies</w:t>
      </w:r>
    </w:p>
    <w:p>
      <w:pPr>
        <w:pStyle w:val="FirstParagraph"/>
      </w:pPr>
      <w:r>
        <w:t xml:space="preserve">We benchmarked four native architectural topologies for non-autoregressive decision support:</w:t>
      </w:r>
    </w:p>
    <w:bookmarkStart w:id="19" w:name="_b8e6393ac53c2746ad4a39ba8a2c3a9669de209"/>
    <w:p>
      <w:pPr>
        <w:pStyle w:val="Heading4"/>
      </w:pPr>
      <w:r>
        <w:t xml:space="preserve">2.5.1 TF-IDF + Linear SVM Baseline</w:t>
      </w:r>
    </w:p>
    <w:p>
      <w:pPr>
        <w:pStyle w:val="FirstParagraph"/>
      </w:pPr>
      <w:r>
        <w:t xml:space="preserve">Linear classifiers over sparse n-gram representations routinely establish competitive floors in structured text classification [5], [6]. Our baseline pipeline utilised a scikit-learn ColumnTransformer integrating:</w:t>
      </w:r>
    </w:p>
    <w:p>
      <w:pPr>
        <w:pStyle w:val="Compact"/>
        <w:numPr>
          <w:ilvl w:val="0"/>
          <w:numId w:val="1004"/>
        </w:numPr>
      </w:pPr>
      <w:r>
        <w:rPr>
          <w:b/>
          <w:bCs/>
        </w:rPr>
        <w:t xml:space="preserve">Text features</w:t>
      </w:r>
      <w:r>
        <w:t xml:space="preserve">: TF-IDF vectorisation over anamnesis text (unigrams and bigrams, 5,000 maximum features, sublinear term-frequency scaling).</w:t>
      </w:r>
    </w:p>
    <w:p>
      <w:pPr>
        <w:pStyle w:val="Compact"/>
        <w:numPr>
          <w:ilvl w:val="0"/>
          <w:numId w:val="1004"/>
        </w:numPr>
      </w:pPr>
      <w:r>
        <w:rPr>
          <w:b/>
          <w:bCs/>
        </w:rPr>
        <w:t xml:space="preserve">Numeric features</w:t>
      </w:r>
      <w:r>
        <w:t xml:space="preserve">: StandardScaler-normalised systolic BP, diastolic BP, body weight, height, and age.</w:t>
      </w:r>
    </w:p>
    <w:p>
      <w:pPr>
        <w:pStyle w:val="Compact"/>
        <w:numPr>
          <w:ilvl w:val="0"/>
          <w:numId w:val="1004"/>
        </w:numPr>
      </w:pPr>
      <w:r>
        <w:rPr>
          <w:b/>
          <w:bCs/>
        </w:rPr>
        <w:t xml:space="preserve">Categorical features</w:t>
      </w:r>
      <w:r>
        <w:t xml:space="preserve">: OneHotEncoder on biological sex.</w:t>
      </w:r>
    </w:p>
    <w:p>
      <w:pPr>
        <w:pStyle w:val="FirstParagraph"/>
      </w:pPr>
      <w:r>
        <w:t xml:space="preserve">Classification was performed by LinearSVC using balanced class weighting, squared hinge loss, and L2 regularisation (</w:t>
      </w:r>
      <m:oMath>
        <m:r>
          <m:t>C</m:t>
        </m:r>
        <m:r>
          <m:rPr>
            <m:sty m:val="p"/>
          </m:rPr>
          <m:t>=</m:t>
        </m:r>
        <m:r>
          <m:t>1.0</m:t>
        </m:r>
      </m:oMath>
      <w:r>
        <w:t xml:space="preserve">, maximum iterations = 5,000). Decision function margins were extracted across all 29 classes. Post-hoc probability calibration was performed using single-parameter Platt temperature scaling (</w:t>
      </w:r>
      <m:oMath>
        <m:r>
          <m:t>τ</m:t>
        </m:r>
        <m:r>
          <m:rPr>
            <m:sty m:val="p"/>
          </m:rPr>
          <m:t>=</m:t>
        </m:r>
        <m:r>
          <m:t>0.162</m:t>
        </m:r>
      </m:oMath>
      <w:r>
        <w:t xml:space="preserve">) fitted via negative log-likelihood on held-out calibration encounters. Inference executes in</w:t>
      </w:r>
      <w:r>
        <w:t xml:space="preserve"> </w:t>
      </w:r>
      <m:oMath>
        <m:r>
          <m:rPr>
            <m:sty m:val="p"/>
          </m:rPr>
          <m:t>&lt;</m:t>
        </m:r>
        <m:r>
          <m:t>2</m:t>
        </m:r>
      </m:oMath>
      <w:r>
        <w:t xml:space="preserve"> </w:t>
      </w:r>
      <w:r>
        <w:t xml:space="preserve">ms per encounter on a single CPU core with zero GPU memory requirement.</w:t>
      </w:r>
    </w:p>
    <w:bookmarkEnd w:id="19"/>
    <w:bookmarkStart w:id="20" w:name="_411b24c6c22069139a43997e2c91e9f6a3b5e96"/>
    <w:p>
      <w:pPr>
        <w:pStyle w:val="Heading4"/>
      </w:pPr>
      <w:r>
        <w:t xml:space="preserve">2.5.2 Cross-Encoder Small-LM: Google Gemma 3 270M</w:t>
      </w:r>
    </w:p>
    <w:p>
      <w:pPr>
        <w:pStyle w:val="FirstParagraph"/>
      </w:pPr>
      <w:r>
        <w:t xml:space="preserve">Cross-encoder architectures evaluate pairs of inputs through deep bidirectional cross-attention, allowing dense interaction between queries and documents [14]. We implemented a sequence classification decision engine backed by Google’s Gemma 3 270M transformer (268M parameters; base checkpoint</w:t>
      </w:r>
      <w:r>
        <w:t xml:space="preserve"> </w:t>
      </w:r>
      <w:r>
        <w:rPr>
          <w:rStyle w:val="VerbatimChar"/>
        </w:rPr>
        <w:t xml:space="preserve">google/gemma-3-270m</w:t>
      </w:r>
      <w:r>
        <w:t xml:space="preserve">). For each encounter, the model constructs</w:t>
      </w:r>
      <w:r>
        <w:t xml:space="preserve"> </w:t>
      </w:r>
      <m:oMath>
        <m:r>
          <m:t>K</m:t>
        </m:r>
        <m:r>
          <m:rPr>
            <m:sty m:val="p"/>
          </m:rPr>
          <m:t>=</m:t>
        </m:r>
        <m:r>
          <m:t>29</m:t>
        </m:r>
      </m:oMath>
      <w:r>
        <w:t xml:space="preserve"> </w:t>
      </w:r>
      <w:r>
        <w:t xml:space="preserve">parallel sequences pairing the patient presentation with each candidate diagnostic option:</w:t>
      </w:r>
    </w:p>
    <w:p>
      <w:pPr>
        <w:pStyle w:val="BodyText"/>
      </w:pPr>
      <m:oMathPara>
        <m:oMathParaPr>
          <m:jc m:val="center"/>
        </m:oMathParaPr>
        <m:oMath>
          <m:sSub>
            <m:e>
              <m:r>
                <m:rPr>
                  <m:nor/>
                  <m:sty m:val="p"/>
                </m:rPr>
                <m:t>Input</m:t>
              </m:r>
            </m:e>
            <m:sub>
              <m:r>
                <m:t>k</m:t>
              </m:r>
            </m:sub>
          </m:sSub>
          <m:r>
            <m:rPr>
              <m:sty m:val="p"/>
            </m:rPr>
            <m:t>=</m:t>
          </m:r>
          <m:r>
            <m:rPr>
              <m:nor/>
              <m:sty m:val="p"/>
            </m:rPr>
            <m:t>[State: Clinical Note]</m:t>
          </m:r>
          <m:r>
            <m:rPr>
              <m:sty m:val="p"/>
            </m:rPr>
            <m:t>∥</m:t>
          </m:r>
          <m:r>
            <m:rPr>
              <m:nor/>
              <m:sty m:val="p"/>
            </m:rPr>
            <m:t>[Question: Query]</m:t>
          </m:r>
          <m:r>
            <m:rPr>
              <m:sty m:val="p"/>
            </m:rPr>
            <m:t>∥</m:t>
          </m:r>
          <m:sSub>
            <m:e>
              <m:r>
                <m:rPr>
                  <m:nor/>
                  <m:sty m:val="p"/>
                </m:rPr>
                <m:t>[Option: Criteria</m:t>
              </m:r>
            </m:e>
            <m:sub>
              <m:r>
                <m:t>k</m:t>
              </m:r>
            </m:sub>
          </m:sSub>
          <m:r>
            <m:rPr>
              <m:nor/>
              <m:sty m:val="p"/>
            </m:rPr>
            <m:t>]</m:t>
          </m:r>
        </m:oMath>
      </m:oMathPara>
    </w:p>
    <w:p>
      <w:pPr>
        <w:pStyle w:val="FirstParagraph"/>
      </w:pPr>
      <w:r>
        <w:t xml:space="preserve">Sequences pass through the Gemma transformer backbone into a scalar sequence classification head (</w:t>
      </w:r>
      <w:r>
        <w:rPr>
          <w:rStyle w:val="VerbatimChar"/>
        </w:rPr>
        <w:t xml:space="preserve">score.weight</w:t>
      </w:r>
      <w:r>
        <w:t xml:space="preserve">, pooling the final non-pad token). The 29 scalar outputs are normalized via softmax. We evaluated Gemma 3 under: (1) zero-shot inference (untrained base checkpoint); and (2) clinical vocabulary expansion, adding 100 in-domain colloquial and anatomical tokens (</w:t>
      </w:r>
      <w:r>
        <w:rPr>
          <w:rStyle w:val="VerbatimChar"/>
        </w:rPr>
        <w:t xml:space="preserve">clinical_tokens.json</w:t>
      </w:r>
      <w:r>
        <w:t xml:space="preserve">) to the tokenizer, resizing embedding matrices (262,243 tokens), and training with</w:t>
      </w:r>
      <w:r>
        <w:t xml:space="preserve"> </w:t>
      </w:r>
      <w:r>
        <w:rPr>
          <w:rStyle w:val="VerbatimChar"/>
        </w:rPr>
        <w:t xml:space="preserve">modules_to_save=["score", "embed_tokens"]</w:t>
      </w:r>
      <w:r>
        <w:t xml:space="preserve"> </w:t>
      </w:r>
      <w:r>
        <w:t xml:space="preserve">across three epochs on Apple Silicon GPU (MPS).</w:t>
      </w:r>
    </w:p>
    <w:bookmarkEnd w:id="20"/>
    <w:bookmarkStart w:id="21" w:name="_26bccf0238a96fece3e7670a9fe11fbb7cf0ceb"/>
    <w:p>
      <w:pPr>
        <w:pStyle w:val="Heading4"/>
      </w:pPr>
      <w:r>
        <w:t xml:space="preserve">2.5.3 Bidirectional Marker-Pointer Small-LM: ModernBERT 149M</w:t>
      </w:r>
    </w:p>
    <w:p>
      <w:pPr>
        <w:pStyle w:val="FirstParagraph"/>
      </w:pPr>
      <w:r>
        <w:t xml:space="preserve">While cross-encoders evaluate candidates sequentially, modern encoder backbones can score candidate sets simultaneously in a single forward pass [15]. We implemented a bidirectional marker-pointer decision engine using ModernBERT-base (149.7M parameters; base checkpoint</w:t>
      </w:r>
      <w:r>
        <w:t xml:space="preserve"> </w:t>
      </w:r>
      <w:r>
        <w:rPr>
          <w:rStyle w:val="VerbatimChar"/>
        </w:rPr>
        <w:t xml:space="preserve">answerdotai/ModernBERT-base</w:t>
      </w:r>
      <w:r>
        <w:t xml:space="preserve">). ModernBERT structures the entire decision problem into a single bidirectional prompt using option marker within a 768-token context window:</w:t>
      </w:r>
    </w:p>
    <w:p>
      <w:pPr>
        <w:pStyle w:val="BodyText"/>
      </w:pPr>
      <m:oMathPara>
        <m:oMathParaPr>
          <m:jc m:val="center"/>
        </m:oMathParaPr>
        <m:oMath>
          <m:r>
            <m:rPr>
              <m:nor/>
              <m:sty m:val="p"/>
            </m:rPr>
            <m:t>Sequence</m:t>
          </m:r>
          <m:r>
            <m:rPr>
              <m:sty m:val="p"/>
            </m:rPr>
            <m:t>=</m:t>
          </m:r>
          <m:r>
            <m:rPr>
              <m:nor/>
              <m:sty m:val="p"/>
            </m:rPr>
            <m:t>[CLS] choice question: </m:t>
          </m:r>
          <m:r>
            <m:rPr>
              <m:sty m:val="p"/>
            </m:rPr>
            <m:t>∥</m:t>
          </m:r>
          <m:r>
            <m:rPr>
              <m:nor/>
              <m:sty m:val="p"/>
            </m:rPr>
            <m:t>Instructions</m:t>
          </m:r>
          <m:r>
            <m:rPr>
              <m:sty m:val="p"/>
            </m:rPr>
            <m:t>∥</m:t>
          </m:r>
          <m:r>
            <m:rPr>
              <m:nor/>
              <m:sty m:val="p"/>
            </m:rPr>
            <m:t>[SEP] </m:t>
          </m:r>
          <m:r>
            <m:rPr>
              <m:sty m:val="p"/>
            </m:rPr>
            <m:t>∥</m:t>
          </m:r>
          <m:d>
            <m:dPr>
              <m:begChr m:val="("/>
              <m:sepChr m:val=""/>
              <m:endChr m:val=")"/>
              <m:grow/>
            </m:dPr>
            <m:e>
              <m:nary>
                <m:naryPr>
                  <m:chr m:val="∏"/>
                  <m:limLoc m:val="undOvr"/>
                  <m:subHide m:val="off"/>
                  <m:supHide m:val="off"/>
                </m:naryPr>
                <m:sub>
                  <m:r>
                    <m:t>k</m:t>
                  </m:r>
                  <m:r>
                    <m:rPr>
                      <m:sty m:val="p"/>
                    </m:rPr>
                    <m:t>=</m:t>
                  </m:r>
                  <m:r>
                    <m:t>1</m:t>
                  </m:r>
                </m:sub>
                <m:sup>
                  <m:r>
                    <m:t>29</m:t>
                  </m:r>
                </m:sup>
                <m:e>
                  <m:r>
                    <m:rPr>
                      <m:nor/>
                      <m:sty m:val="p"/>
                    </m:rPr>
                    <m:t>[MASK] </m:t>
                  </m:r>
                </m:e>
              </m:nary>
              <m:r>
                <m:rPr>
                  <m:sty m:val="p"/>
                </m:rPr>
                <m:t>∥</m:t>
              </m:r>
              <m:sSub>
                <m:e>
                  <m:r>
                    <m:rPr>
                      <m:nor/>
                      <m:sty m:val="p"/>
                    </m:rPr>
                    <m:t>Option</m:t>
                  </m:r>
                </m:e>
                <m:sub>
                  <m:r>
                    <m:t>k</m:t>
                  </m:r>
                </m:sub>
              </m:sSub>
            </m:e>
          </m:d>
          <m:r>
            <m:rPr>
              <m:sty m:val="p"/>
            </m:rPr>
            <m:t>∥</m:t>
          </m:r>
          <m:r>
            <m:rPr>
              <m:nor/>
              <m:sty m:val="p"/>
            </m:rPr>
            <m:t>[SEP] </m:t>
          </m:r>
          <m:r>
            <m:rPr>
              <m:sty m:val="p"/>
            </m:rPr>
            <m:t>∥</m:t>
          </m:r>
          <m:r>
            <m:rPr>
              <m:nor/>
              <m:sty m:val="p"/>
            </m:rPr>
            <m:t>Clinical Note</m:t>
          </m:r>
          <m:r>
            <m:rPr>
              <m:sty m:val="p"/>
            </m:rPr>
            <m:t>∥</m:t>
          </m:r>
          <m:r>
            <m:rPr>
              <m:nor/>
              <m:sty m:val="p"/>
            </m:rPr>
            <m:t>[SEP]</m:t>
          </m:r>
        </m:oMath>
      </m:oMathPara>
    </w:p>
    <w:p>
      <w:pPr>
        <w:pStyle w:val="FirstParagraph"/>
      </w:pPr>
      <w:r>
        <w:t xml:space="preserve">In this layout, all 29 candidate options receive a dedicated</w:t>
      </w:r>
      <w:r>
        <w:t xml:space="preserve"> </w:t>
      </w:r>
      <w:r>
        <w:rPr>
          <w:rStyle w:val="VerbatimChar"/>
        </w:rPr>
        <w:t xml:space="preserve">[MASK]</w:t>
      </w:r>
      <w:r>
        <w:t xml:space="preserve"> </w:t>
      </w:r>
      <w:r>
        <w:t xml:space="preserve">marker token. The sequence (~620 tokens total) passes through ModernBERT’s bidirectional self-attention in a single forward pass. Because attention is bidirectional, the hidden state at each</w:t>
      </w:r>
      <w:r>
        <w:t xml:space="preserve"> </w:t>
      </w:r>
      <w:r>
        <w:rPr>
          <w:rStyle w:val="VerbatimChar"/>
        </w:rPr>
        <w:t xml:space="preserve">[MASK]</w:t>
      </w:r>
      <w:r>
        <w:t xml:space="preserve"> </w:t>
      </w:r>
      <w:r>
        <w:t xml:space="preserve">marker attends directly to the patient’s symptoms, and the symptoms attend to all options simultaneously.</w:t>
      </w:r>
    </w:p>
    <w:p>
      <w:pPr>
        <w:pStyle w:val="BodyText"/>
      </w:pPr>
      <w:r>
        <w:t xml:space="preserve">The hidden representations at the 29</w:t>
      </w:r>
      <w:r>
        <w:t xml:space="preserve"> </w:t>
      </w:r>
      <w:r>
        <w:rPr>
          <w:rStyle w:val="VerbatimChar"/>
        </w:rPr>
        <w:t xml:space="preserve">[MASK]</w:t>
      </w:r>
      <w:r>
        <w:t xml:space="preserve"> </w:t>
      </w:r>
      <w:r>
        <w:t xml:space="preserve">marker indices are gathered from the last hidden layer and projected through a two-layer multi-layer perceptron scoring head:</w:t>
      </w:r>
    </w:p>
    <w:p>
      <w:pPr>
        <w:pStyle w:val="BodyText"/>
      </w:pPr>
      <m:oMathPara>
        <m:oMathParaPr>
          <m:jc m:val="center"/>
        </m:oMathParaPr>
        <m:oMath>
          <m:sSub>
            <m:e>
              <m:r>
                <m:rPr>
                  <m:sty m:val="bi"/>
                </m:rPr>
                <m:t>h</m:t>
              </m:r>
            </m:e>
            <m:sub>
              <m:r>
                <m:t>k</m:t>
              </m:r>
            </m:sub>
          </m:sSub>
          <m:r>
            <m:rPr>
              <m:sty m:val="p"/>
            </m:rPr>
            <m:t>=</m:t>
          </m:r>
          <m:r>
            <m:rPr>
              <m:nor/>
              <m:sty m:val="p"/>
            </m:rPr>
            <m:t>Gather</m:t>
          </m:r>
          <m:r>
            <m:rPr>
              <m:sty m:val="p"/>
            </m:rPr>
            <m:t>(</m:t>
          </m:r>
          <m:r>
            <m:rPr>
              <m:sty m:val="bi"/>
            </m:rPr>
            <m:t>H</m:t>
          </m:r>
          <m:r>
            <m:rPr>
              <m:sty m:val="p"/>
            </m:rPr>
            <m:t>,</m:t>
          </m:r>
          <m:sSub>
            <m:e>
              <m:r>
                <m:rPr>
                  <m:nor/>
                  <m:sty m:val="p"/>
                </m:rPr>
                <m:t>pos</m:t>
              </m:r>
            </m:e>
            <m:sub>
              <m:r>
                <m:t>k</m:t>
              </m:r>
            </m:sub>
          </m:sSub>
          <m:r>
            <m:rPr>
              <m:sty m:val="p"/>
            </m:rPr>
            <m:t>)</m:t>
          </m:r>
          <m:r>
            <m:rPr>
              <m:sty m:val="p"/>
            </m:rPr>
            <m:t>,</m:t>
          </m:r>
          <m:r>
            <m:t> </m:t>
          </m:r>
          <m:sSub>
            <m:e>
              <m:r>
                <m:t>z</m:t>
              </m:r>
            </m:e>
            <m:sub>
              <m:r>
                <m:t>k</m:t>
              </m:r>
            </m:sub>
          </m:sSub>
          <m:r>
            <m:rPr>
              <m:sty m:val="p"/>
            </m:rPr>
            <m:t>=</m:t>
          </m:r>
          <m:sSub>
            <m:e>
              <m:r>
                <m:rPr>
                  <m:sty m:val="bi"/>
                </m:rPr>
                <m:t>W</m:t>
              </m:r>
            </m:e>
            <m:sub>
              <m:r>
                <m:t>2</m:t>
              </m:r>
            </m:sub>
          </m:sSub>
          <m:r>
            <m:rPr>
              <m:sty m:val="p"/>
            </m:rPr>
            <m:t>⋅</m:t>
          </m:r>
          <m:r>
            <m:rPr>
              <m:nor/>
              <m:sty m:val="p"/>
            </m:rPr>
            <m:t>GELU</m:t>
          </m:r>
          <m:r>
            <m:rPr>
              <m:sty m:val="p"/>
            </m:rPr>
            <m:t>(</m:t>
          </m:r>
          <m:sSub>
            <m:e>
              <m:r>
                <m:rPr>
                  <m:sty m:val="bi"/>
                </m:rPr>
                <m:t>W</m:t>
              </m:r>
            </m:e>
            <m:sub>
              <m:r>
                <m:t>1</m:t>
              </m:r>
            </m:sub>
          </m:sSub>
          <m:r>
            <m:rPr>
              <m:sty m:val="p"/>
            </m:rPr>
            <m:t>⋅</m:t>
          </m:r>
          <m:r>
            <m:rPr>
              <m:nor/>
              <m:sty m:val="p"/>
            </m:rPr>
            <m:t>LayerNorm</m:t>
          </m:r>
          <m:r>
            <m:rPr>
              <m:sty m:val="p"/>
            </m:rPr>
            <m:t>(</m:t>
          </m:r>
          <m:sSub>
            <m:e>
              <m:r>
                <m:rPr>
                  <m:sty m:val="bi"/>
                </m:rPr>
                <m:t>h</m:t>
              </m:r>
            </m:e>
            <m:sub>
              <m:r>
                <m:t>k</m:t>
              </m:r>
            </m:sub>
          </m:sSub>
          <m:r>
            <m:rPr>
              <m:sty m:val="p"/>
            </m:rPr>
            <m:t>)</m:t>
          </m:r>
          <m:r>
            <m:rPr>
              <m:sty m:val="p"/>
            </m:rPr>
            <m:t>)</m:t>
          </m:r>
        </m:oMath>
      </m:oMathPara>
    </w:p>
    <w:p>
      <w:pPr>
        <w:pStyle w:val="FirstParagraph"/>
      </w:pPr>
      <w:r>
        <w:t xml:space="preserve">This produces all 29 candidate logits</w:t>
      </w:r>
      <w:r>
        <w:t xml:space="preserve"> </w:t>
      </w:r>
      <m:oMath>
        <m:sSub>
          <m:e>
            <m:r>
              <m:t>z</m:t>
            </m:r>
          </m:e>
          <m:sub>
            <m:r>
              <m:t>1</m:t>
            </m:r>
          </m:sub>
        </m:sSub>
        <m:r>
          <m:rPr>
            <m:sty m:val="p"/>
          </m:rPr>
          <m:t>,</m:t>
        </m:r>
        <m:r>
          <m:rPr>
            <m:sty m:val="p"/>
          </m:rPr>
          <m:t>…</m:t>
        </m:r>
        <m:r>
          <m:rPr>
            <m:sty m:val="p"/>
          </m:rPr>
          <m:t>,</m:t>
        </m:r>
        <m:sSub>
          <m:e>
            <m:r>
              <m:t>z</m:t>
            </m:r>
          </m:e>
          <m:sub>
            <m:r>
              <m:t>29</m:t>
            </m:r>
          </m:sub>
        </m:sSub>
      </m:oMath>
      <w:r>
        <w:t xml:space="preserve"> </w:t>
      </w:r>
      <w:r>
        <w:t xml:space="preserve">in one forward pass. The model was trained with 100 in-domain clinical tokens, AdamW (</w:t>
      </w:r>
      <m:oMath>
        <m:r>
          <m:rPr>
            <m:nor/>
            <m:sty m:val="p"/>
          </m:rPr>
          <m:t>lr</m:t>
        </m:r>
        <m:r>
          <m:rPr>
            <m:sty m:val="p"/>
          </m:rPr>
          <m:t>=</m:t>
        </m:r>
        <m:r>
          <m:t>4</m:t>
        </m:r>
        <m:r>
          <m:rPr>
            <m:sty m:val="p"/>
          </m:rPr>
          <m:t>×</m:t>
        </m:r>
        <m:sSup>
          <m:e>
            <m:r>
              <m:t>10</m:t>
            </m:r>
          </m:e>
          <m:sup>
            <m:r>
              <m:rPr>
                <m:sty m:val="p"/>
              </m:rPr>
              <m:t>−</m:t>
            </m:r>
            <m:r>
              <m:t>5</m:t>
            </m:r>
          </m:sup>
        </m:sSup>
      </m:oMath>
      <w:r>
        <w:t xml:space="preserve">), cosine learning rate scheduling with 10% warmup, and label smoothing (</w:t>
      </w:r>
      <m:oMath>
        <m:r>
          <m:t>ϵ</m:t>
        </m:r>
        <m:r>
          <m:rPr>
            <m:sty m:val="p"/>
          </m:rPr>
          <m:t>=</m:t>
        </m:r>
        <m:r>
          <m:t>0.10</m:t>
        </m:r>
      </m:oMath>
      <w:r>
        <w:t xml:space="preserve">) across four epochs on the 17,163 resident encounters.</w:t>
      </w:r>
    </w:p>
    <w:bookmarkEnd w:id="21"/>
    <w:bookmarkStart w:id="22" w:name="_bdcdc0c898e7a9c7204710415c954c8c6228ca5"/>
    <w:p>
      <w:pPr>
        <w:pStyle w:val="Heading4"/>
      </w:pPr>
      <w:r>
        <w:t xml:space="preserve">2.5.4 Ultra-Compact Bidirectional Small-LM: ELECTRA-Small 13.5M</w:t>
      </w:r>
    </w:p>
    <w:p>
      <w:pPr>
        <w:pStyle w:val="FirstParagraph"/>
      </w:pPr>
      <w:r>
        <w:t xml:space="preserve">To test the extreme lower parameter boundary of non-autoregressive decision models, we adapted Google’s ELECTRA-Small discriminator backbone (</w:t>
      </w:r>
      <w:r>
        <w:rPr>
          <w:rStyle w:val="VerbatimChar"/>
        </w:rPr>
        <w:t xml:space="preserve">google/electra-small-discriminator</w:t>
      </w:r>
      <w:r>
        <w:t xml:space="preserve">, 13.5M parameters, 12 layers, hidden dimension</w:t>
      </w:r>
      <w:r>
        <w:t xml:space="preserve"> </w:t>
      </w:r>
      <m:oMath>
        <m:r>
          <m:t>d</m:t>
        </m:r>
        <m:r>
          <m:rPr>
            <m:sty m:val="p"/>
          </m:rPr>
          <m:t>=</m:t>
        </m:r>
        <m:r>
          <m:t>256</m:t>
        </m:r>
      </m:oMath>
      <w:r>
        <w:t xml:space="preserve">). ELECTRA structures the single-pass marker-pointer prompt within a 512-token context window:</w:t>
      </w:r>
    </w:p>
    <w:p>
      <w:pPr>
        <w:pStyle w:val="BodyText"/>
      </w:pPr>
      <m:oMathPara>
        <m:oMathParaPr>
          <m:jc m:val="center"/>
        </m:oMathParaPr>
        <m:oMath>
          <m:r>
            <m:rPr>
              <m:nor/>
              <m:sty m:val="p"/>
            </m:rPr>
            <m:t>Sequence</m:t>
          </m:r>
          <m:r>
            <m:rPr>
              <m:sty m:val="p"/>
            </m:rPr>
            <m:t>=</m:t>
          </m:r>
          <m:r>
            <m:rPr>
              <m:nor/>
              <m:sty m:val="p"/>
            </m:rPr>
            <m:t>[CLS] choice question: </m:t>
          </m:r>
          <m:r>
            <m:rPr>
              <m:sty m:val="p"/>
            </m:rPr>
            <m:t>∥</m:t>
          </m:r>
          <m:r>
            <m:rPr>
              <m:nor/>
              <m:sty m:val="p"/>
            </m:rPr>
            <m:t>Instructions</m:t>
          </m:r>
          <m:r>
            <m:rPr>
              <m:sty m:val="p"/>
            </m:rPr>
            <m:t>∥</m:t>
          </m:r>
          <m:r>
            <m:rPr>
              <m:nor/>
              <m:sty m:val="p"/>
            </m:rPr>
            <m:t>[SEP] </m:t>
          </m:r>
          <m:r>
            <m:rPr>
              <m:sty m:val="p"/>
            </m:rPr>
            <m:t>∥</m:t>
          </m:r>
          <m:d>
            <m:dPr>
              <m:begChr m:val="("/>
              <m:sepChr m:val=""/>
              <m:endChr m:val=")"/>
              <m:grow/>
            </m:dPr>
            <m:e>
              <m:nary>
                <m:naryPr>
                  <m:chr m:val="∏"/>
                  <m:limLoc m:val="undOvr"/>
                  <m:subHide m:val="off"/>
                  <m:supHide m:val="off"/>
                </m:naryPr>
                <m:sub>
                  <m:r>
                    <m:t>k</m:t>
                  </m:r>
                  <m:r>
                    <m:rPr>
                      <m:sty m:val="p"/>
                    </m:rPr>
                    <m:t>=</m:t>
                  </m:r>
                  <m:r>
                    <m:t>1</m:t>
                  </m:r>
                </m:sub>
                <m:sup>
                  <m:r>
                    <m:t>29</m:t>
                  </m:r>
                </m:sup>
                <m:e>
                  <m:r>
                    <m:rPr>
                      <m:nor/>
                      <m:sty m:val="p"/>
                    </m:rPr>
                    <m:t>[MASK] </m:t>
                  </m:r>
                </m:e>
              </m:nary>
              <m:r>
                <m:rPr>
                  <m:sty m:val="p"/>
                </m:rPr>
                <m:t>∥</m:t>
              </m:r>
              <m:sSub>
                <m:e>
                  <m:r>
                    <m:rPr>
                      <m:nor/>
                      <m:sty m:val="p"/>
                    </m:rPr>
                    <m:t>Option</m:t>
                  </m:r>
                </m:e>
                <m:sub>
                  <m:r>
                    <m:t>k</m:t>
                  </m:r>
                </m:sub>
              </m:sSub>
            </m:e>
          </m:d>
          <m:r>
            <m:rPr>
              <m:sty m:val="p"/>
            </m:rPr>
            <m:t>∥</m:t>
          </m:r>
          <m:r>
            <m:rPr>
              <m:nor/>
              <m:sty m:val="p"/>
            </m:rPr>
            <m:t>[SEP] </m:t>
          </m:r>
          <m:r>
            <m:rPr>
              <m:sty m:val="p"/>
            </m:rPr>
            <m:t>∥</m:t>
          </m:r>
          <m:r>
            <m:rPr>
              <m:nor/>
              <m:sty m:val="p"/>
            </m:rPr>
            <m:t>Clinical Note</m:t>
          </m:r>
          <m:r>
            <m:rPr>
              <m:sty m:val="p"/>
            </m:rPr>
            <m:t>∥</m:t>
          </m:r>
          <m:r>
            <m:rPr>
              <m:nor/>
              <m:sty m:val="p"/>
            </m:rPr>
            <m:t>[SEP]</m:t>
          </m:r>
        </m:oMath>
      </m:oMathPara>
    </w:p>
    <w:p>
      <w:pPr>
        <w:pStyle w:val="FirstParagraph"/>
      </w:pPr>
      <w:r>
        <w:t xml:space="preserve">Hidden states at marker positions are pooled via gathered projections through a LayerNorm-GELU multi-layer perceptron scoring head:</w:t>
      </w:r>
    </w:p>
    <w:p>
      <w:pPr>
        <w:pStyle w:val="BodyText"/>
      </w:pPr>
      <m:oMathPara>
        <m:oMathParaPr>
          <m:jc m:val="center"/>
        </m:oMathParaPr>
        <m:oMath>
          <m:sSub>
            <m:e>
              <m:r>
                <m:rPr>
                  <m:sty m:val="bi"/>
                </m:rPr>
                <m:t>h</m:t>
              </m:r>
            </m:e>
            <m:sub>
              <m:r>
                <m:t>k</m:t>
              </m:r>
            </m:sub>
          </m:sSub>
          <m:r>
            <m:rPr>
              <m:sty m:val="p"/>
            </m:rPr>
            <m:t>=</m:t>
          </m:r>
          <m:r>
            <m:rPr>
              <m:nor/>
              <m:sty m:val="p"/>
            </m:rPr>
            <m:t>Gather</m:t>
          </m:r>
          <m:r>
            <m:rPr>
              <m:sty m:val="p"/>
            </m:rPr>
            <m:t>(</m:t>
          </m:r>
          <m:r>
            <m:rPr>
              <m:sty m:val="bi"/>
            </m:rPr>
            <m:t>H</m:t>
          </m:r>
          <m:r>
            <m:rPr>
              <m:sty m:val="p"/>
            </m:rPr>
            <m:t>,</m:t>
          </m:r>
          <m:sSub>
            <m:e>
              <m:r>
                <m:rPr>
                  <m:nor/>
                  <m:sty m:val="p"/>
                </m:rPr>
                <m:t>pos</m:t>
              </m:r>
            </m:e>
            <m:sub>
              <m:r>
                <m:t>k</m:t>
              </m:r>
            </m:sub>
          </m:sSub>
          <m:r>
            <m:rPr>
              <m:sty m:val="p"/>
            </m:rPr>
            <m:t>)</m:t>
          </m:r>
          <m:r>
            <m:rPr>
              <m:sty m:val="p"/>
            </m:rPr>
            <m:t>,</m:t>
          </m:r>
          <m:r>
            <m:t> </m:t>
          </m:r>
          <m:sSub>
            <m:e>
              <m:r>
                <m:t>z</m:t>
              </m:r>
            </m:e>
            <m:sub>
              <m:r>
                <m:t>k</m:t>
              </m:r>
            </m:sub>
          </m:sSub>
          <m:r>
            <m:rPr>
              <m:sty m:val="p"/>
            </m:rPr>
            <m:t>=</m:t>
          </m:r>
          <m:sSub>
            <m:e>
              <m:r>
                <m:rPr>
                  <m:sty m:val="bi"/>
                </m:rPr>
                <m:t>W</m:t>
              </m:r>
            </m:e>
            <m:sub>
              <m:r>
                <m:t>2</m:t>
              </m:r>
            </m:sub>
          </m:sSub>
          <m:r>
            <m:rPr>
              <m:sty m:val="p"/>
            </m:rPr>
            <m:t>⋅</m:t>
          </m:r>
          <m:r>
            <m:rPr>
              <m:nor/>
              <m:sty m:val="p"/>
            </m:rPr>
            <m:t>GELU</m:t>
          </m:r>
          <m:r>
            <m:rPr>
              <m:sty m:val="p"/>
            </m:rPr>
            <m:t>(</m:t>
          </m:r>
          <m:sSub>
            <m:e>
              <m:r>
                <m:rPr>
                  <m:sty m:val="bi"/>
                </m:rPr>
                <m:t>W</m:t>
              </m:r>
            </m:e>
            <m:sub>
              <m:r>
                <m:t>1</m:t>
              </m:r>
            </m:sub>
          </m:sSub>
          <m:r>
            <m:rPr>
              <m:sty m:val="p"/>
            </m:rPr>
            <m:t>⋅</m:t>
          </m:r>
          <m:r>
            <m:rPr>
              <m:nor/>
              <m:sty m:val="p"/>
            </m:rPr>
            <m:t>LayerNorm</m:t>
          </m:r>
          <m:r>
            <m:rPr>
              <m:sty m:val="p"/>
            </m:rPr>
            <m:t>(</m:t>
          </m:r>
          <m:sSub>
            <m:e>
              <m:r>
                <m:rPr>
                  <m:sty m:val="bi"/>
                </m:rPr>
                <m:t>h</m:t>
              </m:r>
            </m:e>
            <m:sub>
              <m:r>
                <m:t>k</m:t>
              </m:r>
            </m:sub>
          </m:sSub>
          <m:r>
            <m:rPr>
              <m:sty m:val="p"/>
            </m:rPr>
            <m:t>)</m:t>
          </m:r>
          <m:r>
            <m:rPr>
              <m:sty m:val="p"/>
            </m:rPr>
            <m:t>)</m:t>
          </m:r>
        </m:oMath>
      </m:oMathPara>
    </w:p>
    <w:p>
      <w:pPr>
        <w:pStyle w:val="FirstParagraph"/>
      </w:pPr>
      <w:r>
        <w:t xml:space="preserve">We expanded the WordPiece vocabulary with 100 domain-specific Indonesian and Javanese clinical tokens (expanding the model from 13.48M to 13.56M parameters; 30,622 total vocabulary tokens) and trained the model using AdamW (</w:t>
      </w:r>
      <m:oMath>
        <m:r>
          <m:rPr>
            <m:nor/>
            <m:sty m:val="p"/>
          </m:rPr>
          <m:t>lr</m:t>
        </m:r>
        <m:r>
          <m:rPr>
            <m:sty m:val="p"/>
          </m:rPr>
          <m:t>=</m:t>
        </m:r>
        <m:r>
          <m:t>3</m:t>
        </m:r>
        <m:r>
          <m:rPr>
            <m:sty m:val="p"/>
          </m:rPr>
          <m:t>×</m:t>
        </m:r>
        <m:sSup>
          <m:e>
            <m:r>
              <m:t>10</m:t>
            </m:r>
          </m:e>
          <m:sup>
            <m:r>
              <m:rPr>
                <m:sty m:val="p"/>
              </m:rPr>
              <m:t>−</m:t>
            </m:r>
            <m:r>
              <m:t>4</m:t>
            </m:r>
          </m:sup>
        </m:sSup>
      </m:oMath>
      <w:r>
        <w:t xml:space="preserve"> </w:t>
      </w:r>
      <w:r>
        <w:t xml:space="preserve">decaying to</w:t>
      </w:r>
      <w:r>
        <w:t xml:space="preserve"> </w:t>
      </w:r>
      <m:oMath>
        <m:r>
          <m:t>1</m:t>
        </m:r>
        <m:r>
          <m:rPr>
            <m:sty m:val="p"/>
          </m:rPr>
          <m:t>×</m:t>
        </m:r>
        <m:sSup>
          <m:e>
            <m:r>
              <m:t>10</m:t>
            </m:r>
          </m:e>
          <m:sup>
            <m:r>
              <m:rPr>
                <m:sty m:val="p"/>
              </m:rPr>
              <m:t>−</m:t>
            </m:r>
            <m:r>
              <m:t>4</m:t>
            </m:r>
          </m:sup>
        </m:sSup>
      </m:oMath>
      <w:r>
        <w:t xml:space="preserve">) with label smoothing (</w:t>
      </w:r>
      <m:oMath>
        <m:r>
          <m:t>ϵ</m:t>
        </m:r>
        <m:r>
          <m:rPr>
            <m:sty m:val="p"/>
          </m:rPr>
          <m:t>=</m:t>
        </m:r>
        <m:r>
          <m:t>0.10</m:t>
        </m:r>
      </m:oMath>
      <w:r>
        <w:t xml:space="preserve">) across 16 epochs on the 17,163 resident encounters.</w:t>
      </w:r>
    </w:p>
    <w:bookmarkEnd w:id="22"/>
    <w:bookmarkEnd w:id="23"/>
    <w:bookmarkStart w:id="24" w:name="_8bde63fdc1f45bfa00bf1586bc3c40969db5605"/>
    <w:p>
      <w:pPr>
        <w:pStyle w:val="Heading3"/>
      </w:pPr>
      <w:r>
        <w:t xml:space="preserve">2.6 Edge optimization and ONNX export</w:t>
      </w:r>
    </w:p>
    <w:p>
      <w:pPr>
        <w:pStyle w:val="FirstParagraph"/>
      </w:pPr>
      <w:r>
        <w:t xml:space="preserve">To verify feasibility for deployment in primary care clinics lacking dedicated GPU hardware, we exported the native ELECTRA-Small System-1 model to the Open Neural Network Exchange (ONNX) format using opset 17 with dynamic axes for batch size, sequence length, and candidate options count. The exported computational graph was validated using</w:t>
      </w:r>
      <w:r>
        <w:t xml:space="preserve"> </w:t>
      </w:r>
      <w:r>
        <w:rPr>
          <w:rStyle w:val="VerbatimChar"/>
        </w:rPr>
        <w:t xml:space="preserve">onnx.checker</w:t>
      </w:r>
      <w:r>
        <w:t xml:space="preserve"> </w:t>
      </w:r>
      <w:r>
        <w:t xml:space="preserve">and tested for numerical parity against PyTorch (</w:t>
      </w:r>
      <m:oMath>
        <m:r>
          <m:rPr>
            <m:sty m:val="p"/>
          </m:rPr>
          <m:t>|</m:t>
        </m:r>
        <m:sSub>
          <m:e>
            <m:r>
              <m:t>y</m:t>
            </m:r>
          </m:e>
          <m:sub>
            <m:r>
              <m:rPr>
                <m:nor/>
                <m:sty m:val="p"/>
              </m:rPr>
              <m:t>PyTorch</m:t>
            </m:r>
          </m:sub>
        </m:sSub>
        <m:r>
          <m:rPr>
            <m:sty m:val="p"/>
          </m:rPr>
          <m:t>−</m:t>
        </m:r>
        <m:sSub>
          <m:e>
            <m:r>
              <m:t>y</m:t>
            </m:r>
          </m:e>
          <m:sub>
            <m:r>
              <m:rPr>
                <m:nor/>
                <m:sty m:val="p"/>
              </m:rPr>
              <m:t>ONNX</m:t>
            </m:r>
          </m:sub>
        </m:sSub>
        <m:r>
          <m:rPr>
            <m:sty m:val="p"/>
          </m:rPr>
          <m:t>|</m:t>
        </m:r>
        <m:r>
          <m:rPr>
            <m:sty m:val="p"/>
          </m:rPr>
          <m:t>&lt;</m:t>
        </m:r>
        <m:r>
          <m:t>3.70</m:t>
        </m:r>
        <m:r>
          <m:rPr>
            <m:sty m:val="p"/>
          </m:rPr>
          <m:t>×</m:t>
        </m:r>
        <m:sSup>
          <m:e>
            <m:r>
              <m:t>10</m:t>
            </m:r>
          </m:e>
          <m:sup>
            <m:r>
              <m:rPr>
                <m:sty m:val="p"/>
              </m:rPr>
              <m:t>−</m:t>
            </m:r>
            <m:r>
              <m:t>6</m:t>
            </m:r>
          </m:sup>
        </m:sSup>
      </m:oMath>
      <w:r>
        <w:t xml:space="preserve">). Dynamic INT8 post-training quantization (</w:t>
      </w:r>
      <w:r>
        <w:rPr>
          <w:rStyle w:val="VerbatimChar"/>
        </w:rPr>
        <w:t xml:space="preserve">QInt8</w:t>
      </w:r>
      <w:r>
        <w:t xml:space="preserve">) was applied using ONNX Runtime to compress model weights. The INT8 model was deployed into a fully static client-side web application running directly in web browsers via WebAssembly SIMD (</w:t>
      </w:r>
      <w:r>
        <w:rPr>
          <w:rStyle w:val="VerbatimChar"/>
        </w:rPr>
        <w:t xml:space="preserve">onnxruntime-web</w:t>
      </w:r>
      <w:r>
        <w:t xml:space="preserve">), requiring zero server-side infrastructure.</w:t>
      </w:r>
    </w:p>
    <w:bookmarkEnd w:id="24"/>
    <w:bookmarkStart w:id="25" w:name="_df46d06491242ac1b6a92f4ae0c3c573cfdd548"/>
    <w:p>
      <w:pPr>
        <w:pStyle w:val="Heading3"/>
      </w:pPr>
      <w:r>
        <w:t xml:space="preserve">2.7 Metrics and calibration procedures</w:t>
      </w:r>
    </w:p>
    <w:p>
      <w:pPr>
        <w:pStyle w:val="FirstParagraph"/>
      </w:pPr>
      <w:r>
        <w:t xml:space="preserve">Models were evaluated across five standard classification and calibration metrics:</w:t>
      </w:r>
    </w:p>
    <w:p>
      <w:pPr>
        <w:pStyle w:val="Compact"/>
        <w:numPr>
          <w:ilvl w:val="0"/>
          <w:numId w:val="1005"/>
        </w:numPr>
      </w:pPr>
      <w:r>
        <w:rPr>
          <w:b/>
          <w:bCs/>
        </w:rPr>
        <w:t xml:space="preserve">Top-1, Top-2, and Top-3 Accuracy</w:t>
      </w:r>
      <w:r>
        <w:t xml:space="preserve">: Reflecting the diagnostic match rate within the primary and differential consultation guidance window.</w:t>
      </w:r>
    </w:p>
    <w:p>
      <w:pPr>
        <w:pStyle w:val="Compact"/>
        <w:numPr>
          <w:ilvl w:val="0"/>
          <w:numId w:val="1005"/>
        </w:numPr>
      </w:pPr>
      <w:r>
        <w:rPr>
          <w:b/>
          <w:bCs/>
        </w:rPr>
        <w:t xml:space="preserve">Macro-averaged F₁</w:t>
      </w:r>
      <w:r>
        <w:t xml:space="preserve">: Measuring balanced diagnostic discrimination across high-volume and rare ICD-10 categories.</w:t>
      </w:r>
    </w:p>
    <w:p>
      <w:pPr>
        <w:pStyle w:val="Compact"/>
        <w:numPr>
          <w:ilvl w:val="0"/>
          <w:numId w:val="1005"/>
        </w:numPr>
      </w:pPr>
      <w:r>
        <w:rPr>
          <w:b/>
          <w:bCs/>
        </w:rPr>
        <w:t xml:space="preserve">Expected Calibration Error (ECE)</w:t>
      </w:r>
      <w:r>
        <w:t xml:space="preserve">: Quantifying the alignment between predicted model probabilities and empirical accuracy across 15 equal-width confidence bins [16], [17].</w:t>
      </w:r>
    </w:p>
    <w:p>
      <w:pPr>
        <w:pStyle w:val="Compact"/>
        <w:numPr>
          <w:ilvl w:val="0"/>
          <w:numId w:val="1005"/>
        </w:numPr>
      </w:pPr>
      <w:r>
        <w:rPr>
          <w:b/>
          <w:bCs/>
        </w:rPr>
        <w:t xml:space="preserve">Brier Score</w:t>
      </w:r>
      <w:r>
        <w:t xml:space="preserve">: Measuring mean squared probability error across all 29 target classes.</w:t>
      </w:r>
    </w:p>
    <w:p>
      <w:pPr>
        <w:pStyle w:val="FirstParagraph"/>
      </w:pPr>
      <w:r>
        <w:t xml:space="preserve">All model training, vocabulary expansion, parameter optimization, and benchmark evaluations were conducted on an Apple MacBook Pro equipped with an Apple</w:t>
      </w:r>
      <w:r>
        <w:t xml:space="preserve"> </w:t>
      </w:r>
      <w:r>
        <w:t xml:space="preserve">M2 Max system-on-chip (12-core CPU, 30-core GPU, and 64 GB unified memory) utilizing the PyTorch Metal Performance Shaders (MPS) hardware-acceleration</w:t>
      </w:r>
      <w:r>
        <w:t xml:space="preserve"> </w:t>
      </w:r>
      <w:r>
        <w:t xml:space="preserve">backend. For real-world clinical deployment testing, the optimized INT8 ONNX decision engine was hosted on a low-cost commodity edge mini-PC configured</w:t>
      </w:r>
      <w:r>
        <w:t xml:space="preserve"> </w:t>
      </w:r>
      <w:r>
        <w:t xml:space="preserve">with a 6-core Intel Core i5-8500T CPU @ 2.10 GHz and 24 GB RAM without discrete GPU hardware.</w:t>
      </w:r>
    </w:p>
    <w:p>
      <w:pPr>
        <w:pStyle w:val="BodyText"/>
      </w:pPr>
      <w:r>
        <w:t xml:space="preserve">The static web application was served over a secure network</w:t>
      </w:r>
      <w:r>
        <w:t xml:space="preserve"> </w:t>
      </w:r>
      <w:r>
        <w:t xml:space="preserve">tunnel (https://cdss.data-lab.xyz) to simulate district health clinic connectivity. Under this edge deployment profile, end-to-end diagnostic prediction</w:t>
      </w:r>
      <w:r>
        <w:t xml:space="preserve"> </w:t>
      </w:r>
      <w:r>
        <w:t xml:space="preserve">latency measured directly from the client web browser ranged between 206 and 310 ms per encounter, demonstrating responsive, near-instantaneous decision</w:t>
      </w:r>
      <w:r>
        <w:t xml:space="preserve"> </w:t>
      </w:r>
      <w:r>
        <w:t xml:space="preserve">support over commodity clinic hardware and standard network conditions.</w:t>
      </w:r>
    </w:p>
    <w:p>
      <w:r>
        <w:pict>
          <v:rect style="width:0;height:1.5pt" o:hralign="center" o:hrstd="t" o:hr="t"/>
        </w:pict>
      </w:r>
    </w:p>
    <w:bookmarkEnd w:id="25"/>
    <w:bookmarkEnd w:id="26"/>
    <w:bookmarkStart w:id="34" w:name="_results"/>
    <w:p>
      <w:pPr>
        <w:pStyle w:val="Heading2"/>
      </w:pPr>
      <w:r>
        <w:t xml:space="preserve">3. Results</w:t>
      </w:r>
    </w:p>
    <w:bookmarkStart w:id="30" w:name="_3f5da33ca74fd08bf92d66eb0025169d8a0bd2f"/>
    <w:p>
      <w:pPr>
        <w:pStyle w:val="Heading3"/>
      </w:pPr>
      <w:r>
        <w:t xml:space="preserve">3.1 Head-to-head performance on the population shift holdout</w:t>
      </w:r>
    </w:p>
    <w:p>
      <w:pPr>
        <w:pStyle w:val="FirstParagraph"/>
      </w:pPr>
      <w:r>
        <w:t xml:space="preserve">Table 2 presents the head-to-head comparative evaluation across all architectures on the 3,758 out-of-city population shift encounters (</w:t>
      </w:r>
      <w:r>
        <w:rPr>
          <w:rStyle w:val="VerbatimChar"/>
        </w:rPr>
        <w:t xml:space="preserve">kdesa = XXX</w:t>
      </w:r>
      <w:r>
        <w:t xml:space="preserve">). Intermediate training runs (e.g. ModernBERT 2-epoch and Gemma 1-epoch) are reported in supplementary materials.</w:t>
      </w:r>
    </w:p>
    <w:p>
      <w:pPr>
        <w:pStyle w:val="BodyText"/>
      </w:pPr>
      <w:r>
        <w:rPr>
          <w:b/>
          <w:bCs/>
        </w:rPr>
        <w:t xml:space="preserve">Table 2.</w:t>
      </w:r>
      <w:r>
        <w:t xml:space="preserve"> </w:t>
      </w:r>
      <w:r>
        <w:t xml:space="preserve">Comparative diagnostic performance across model architectures on the out-of-city population shift holdout (</w:t>
      </w:r>
      <m:oMath>
        <m:r>
          <m:t>n</m:t>
        </m:r>
        <m:r>
          <m:rPr>
            <m:sty m:val="p"/>
          </m:rPr>
          <m:t>=</m:t>
        </m:r>
        <m:r>
          <m:t>3</m:t>
        </m:r>
        <m:r>
          <m:rPr>
            <m:sty m:val="p"/>
          </m:rPr>
          <m:t>,</m:t>
        </m:r>
        <m:r>
          <m:t>758</m:t>
        </m:r>
      </m:oMath>
      <w:r>
        <w:t xml:space="preserve">).</w:t>
      </w:r>
    </w:p>
    <w:tbl>
      <w:tblPr>
        <w:tblStyle w:val="Table"/>
        <w:tblW w:type="pct" w:w="5000"/>
        <w:tblLayout w:type="fixed"/>
        <w:tblLook w:firstRow="1" w:lastRow="0" w:firstColumn="0" w:lastColumn="0" w:noHBand="0" w:noVBand="0" w:val="0020"/>
      </w:tblPr>
      <w:tblGrid>
        <w:gridCol w:w="1232"/>
        <w:gridCol w:w="560"/>
        <w:gridCol w:w="2390"/>
        <w:gridCol w:w="597"/>
        <w:gridCol w:w="597"/>
        <w:gridCol w:w="597"/>
        <w:gridCol w:w="597"/>
        <w:gridCol w:w="709"/>
        <w:gridCol w:w="635"/>
      </w:tblGrid>
      <w:tr>
        <w:trPr>
          <w:tblHeader w:val="on"/>
        </w:trPr>
        <w:tc>
          <w:tcPr/>
          <w:p>
            <w:pPr>
              <w:pStyle w:val="Compact"/>
            </w:pPr>
            <w:r>
              <w:t xml:space="preserve">Model Architecture</w:t>
            </w:r>
          </w:p>
        </w:tc>
        <w:tc>
          <w:tcPr/>
          <w:p>
            <w:pPr>
              <w:pStyle w:val="Compact"/>
              <w:jc w:val="right"/>
            </w:pPr>
            <w:r>
              <w:t xml:space="preserve">Parameters</w:t>
            </w:r>
          </w:p>
        </w:tc>
        <w:tc>
          <w:tcPr/>
          <w:p>
            <w:pPr>
              <w:pStyle w:val="Compact"/>
            </w:pPr>
            <w:r>
              <w:t xml:space="preserve">Input Representation / Adaptation</w:t>
            </w:r>
          </w:p>
        </w:tc>
        <w:tc>
          <w:tcPr/>
          <w:p>
            <w:pPr>
              <w:pStyle w:val="Compact"/>
              <w:jc w:val="right"/>
            </w:pPr>
            <w:r>
              <w:t xml:space="preserve">Top-1 Accuracy</w:t>
            </w:r>
          </w:p>
        </w:tc>
        <w:tc>
          <w:tcPr/>
          <w:p>
            <w:pPr>
              <w:pStyle w:val="Compact"/>
              <w:jc w:val="right"/>
            </w:pPr>
            <w:r>
              <w:t xml:space="preserve">Top-2 Accuracy</w:t>
            </w:r>
          </w:p>
        </w:tc>
        <w:tc>
          <w:tcPr/>
          <w:p>
            <w:pPr>
              <w:pStyle w:val="Compact"/>
              <w:jc w:val="right"/>
            </w:pPr>
            <w:r>
              <w:t xml:space="preserve">Top-3 Accuracy</w:t>
            </w:r>
          </w:p>
        </w:tc>
        <w:tc>
          <w:tcPr/>
          <w:p>
            <w:pPr>
              <w:pStyle w:val="Compact"/>
              <w:jc w:val="right"/>
            </w:pPr>
            <w:r>
              <w:t xml:space="preserve">Macro-F₁</w:t>
            </w:r>
          </w:p>
        </w:tc>
        <w:tc>
          <w:tcPr/>
          <w:p>
            <w:pPr>
              <w:pStyle w:val="Compact"/>
              <w:jc w:val="right"/>
            </w:pPr>
            <w:r>
              <w:t xml:space="preserve">ECE (15 bins)</w:t>
            </w:r>
          </w:p>
        </w:tc>
        <w:tc>
          <w:tcPr/>
          <w:p>
            <w:pPr>
              <w:pStyle w:val="Compact"/>
              <w:jc w:val="right"/>
            </w:pPr>
            <w:r>
              <w:t xml:space="preserve">Latency</w:t>
            </w:r>
          </w:p>
        </w:tc>
      </w:tr>
      <w:tr>
        <w:tc>
          <w:tcPr/>
          <w:p>
            <w:pPr>
              <w:pStyle w:val="Compact"/>
            </w:pPr>
            <w:r>
              <w:rPr>
                <w:b/>
                <w:bCs/>
              </w:rPr>
              <w:t xml:space="preserve">Zero-Shot TinyDecide</w:t>
            </w:r>
          </w:p>
        </w:tc>
        <w:tc>
          <w:tcPr/>
          <w:p>
            <w:pPr>
              <w:pStyle w:val="Compact"/>
              <w:jc w:val="right"/>
            </w:pPr>
            <w:r>
              <w:t xml:space="preserve">13.8M</w:t>
            </w:r>
          </w:p>
        </w:tc>
        <w:tc>
          <w:tcPr/>
          <w:p>
            <w:pPr>
              <w:pStyle w:val="Compact"/>
            </w:pPr>
            <w:r>
              <w:t xml:space="preserve">Pretrained ELECTRA microcontroller head</w:t>
            </w:r>
          </w:p>
        </w:tc>
        <w:tc>
          <w:tcPr/>
          <w:p>
            <w:pPr>
              <w:pStyle w:val="Compact"/>
              <w:jc w:val="right"/>
            </w:pPr>
            <w:r>
              <w:t xml:space="preserve">1.09%</w:t>
            </w:r>
          </w:p>
        </w:tc>
        <w:tc>
          <w:tcPr/>
          <w:p>
            <w:pPr>
              <w:pStyle w:val="Compact"/>
              <w:jc w:val="right"/>
            </w:pPr>
            <w:r>
              <w:t xml:space="preserve">2.45%</w:t>
            </w:r>
          </w:p>
        </w:tc>
        <w:tc>
          <w:tcPr/>
          <w:p>
            <w:pPr>
              <w:pStyle w:val="Compact"/>
              <w:jc w:val="right"/>
            </w:pPr>
            <w:r>
              <w:t xml:space="preserve">32.65%</w:t>
            </w:r>
          </w:p>
        </w:tc>
        <w:tc>
          <w:tcPr/>
          <w:p>
            <w:pPr>
              <w:pStyle w:val="Compact"/>
              <w:jc w:val="right"/>
            </w:pPr>
            <w:r>
              <w:t xml:space="preserve">0.0020</w:t>
            </w:r>
          </w:p>
        </w:tc>
        <w:tc>
          <w:tcPr/>
          <w:p>
            <w:pPr>
              <w:pStyle w:val="Compact"/>
              <w:jc w:val="right"/>
            </w:pPr>
            <w:r>
              <w:t xml:space="preserve">0.0635</w:t>
            </w:r>
          </w:p>
        </w:tc>
        <w:tc>
          <w:tcPr/>
          <w:p>
            <w:pPr>
              <w:pStyle w:val="Compact"/>
              <w:jc w:val="right"/>
            </w:pPr>
            <w:r>
              <w:t xml:space="preserve">117.9 ms</w:t>
            </w:r>
          </w:p>
        </w:tc>
      </w:tr>
      <w:tr>
        <w:tc>
          <w:tcPr/>
          <w:p>
            <w:pPr>
              <w:pStyle w:val="Compact"/>
            </w:pPr>
            <w:r>
              <w:rPr>
                <w:b/>
                <w:bCs/>
              </w:rPr>
              <w:t xml:space="preserve">Zero-Shot Gemma 3 270M</w:t>
            </w:r>
          </w:p>
        </w:tc>
        <w:tc>
          <w:tcPr/>
          <w:p>
            <w:pPr>
              <w:pStyle w:val="Compact"/>
              <w:jc w:val="right"/>
            </w:pPr>
            <w:r>
              <w:t xml:space="preserve">268M</w:t>
            </w:r>
          </w:p>
        </w:tc>
        <w:tc>
          <w:tcPr/>
          <w:p>
            <w:pPr>
              <w:pStyle w:val="Compact"/>
            </w:pPr>
            <w:r>
              <w:t xml:space="preserve">Pretrained pairwise scorer (untrained)</w:t>
            </w:r>
          </w:p>
        </w:tc>
        <w:tc>
          <w:tcPr/>
          <w:p>
            <w:pPr>
              <w:pStyle w:val="Compact"/>
              <w:jc w:val="right"/>
            </w:pPr>
            <w:r>
              <w:t xml:space="preserve">2.32%</w:t>
            </w:r>
          </w:p>
        </w:tc>
        <w:tc>
          <w:tcPr/>
          <w:p>
            <w:pPr>
              <w:pStyle w:val="Compact"/>
              <w:jc w:val="right"/>
            </w:pPr>
            <w:r>
              <w:t xml:space="preserve">4.04%</w:t>
            </w:r>
          </w:p>
        </w:tc>
        <w:tc>
          <w:tcPr/>
          <w:p>
            <w:pPr>
              <w:pStyle w:val="Compact"/>
              <w:jc w:val="right"/>
            </w:pPr>
            <w:r>
              <w:t xml:space="preserve">5.69%</w:t>
            </w:r>
          </w:p>
        </w:tc>
        <w:tc>
          <w:tcPr/>
          <w:p>
            <w:pPr>
              <w:pStyle w:val="Compact"/>
              <w:jc w:val="right"/>
            </w:pPr>
            <w:r>
              <w:t xml:space="preserve">0.0271</w:t>
            </w:r>
          </w:p>
        </w:tc>
        <w:tc>
          <w:tcPr/>
          <w:p>
            <w:pPr>
              <w:pStyle w:val="Compact"/>
              <w:jc w:val="right"/>
            </w:pPr>
            <w:r>
              <w:t xml:space="preserve">0.0258</w:t>
            </w:r>
          </w:p>
        </w:tc>
        <w:tc>
          <w:tcPr/>
          <w:p>
            <w:pPr>
              <w:pStyle w:val="Compact"/>
              <w:jc w:val="right"/>
            </w:pPr>
            <w:r>
              <w:t xml:space="preserve">304.9 ms</w:t>
            </w:r>
          </w:p>
        </w:tc>
      </w:tr>
      <w:tr>
        <w:tc>
          <w:tcPr/>
          <w:p>
            <w:pPr>
              <w:pStyle w:val="Compact"/>
            </w:pPr>
            <w:r>
              <w:rPr>
                <w:b/>
                <w:bCs/>
              </w:rPr>
              <w:t xml:space="preserve">Zero-Shot openJev</w:t>
            </w:r>
          </w:p>
        </w:tc>
        <w:tc>
          <w:tcPr/>
          <w:p>
            <w:pPr>
              <w:pStyle w:val="Compact"/>
              <w:jc w:val="right"/>
            </w:pPr>
            <w:r>
              <w:t xml:space="preserve">151M</w:t>
            </w:r>
          </w:p>
        </w:tc>
        <w:tc>
          <w:tcPr/>
          <w:p>
            <w:pPr>
              <w:pStyle w:val="Compact"/>
            </w:pPr>
            <w:r>
              <w:t xml:space="preserve">Pretrained ModernBERT-GLiClass NLI (English criteria)</w:t>
            </w:r>
          </w:p>
        </w:tc>
        <w:tc>
          <w:tcPr/>
          <w:p>
            <w:pPr>
              <w:pStyle w:val="Compact"/>
              <w:jc w:val="right"/>
            </w:pPr>
            <w:r>
              <w:t xml:space="preserve">5.46%</w:t>
            </w:r>
          </w:p>
        </w:tc>
        <w:tc>
          <w:tcPr/>
          <w:p>
            <w:pPr>
              <w:pStyle w:val="Compact"/>
              <w:jc w:val="right"/>
            </w:pPr>
            <w:r>
              <w:t xml:space="preserve">6.47%</w:t>
            </w:r>
          </w:p>
        </w:tc>
        <w:tc>
          <w:tcPr/>
          <w:p>
            <w:pPr>
              <w:pStyle w:val="Compact"/>
              <w:jc w:val="right"/>
            </w:pPr>
            <w:r>
              <w:t xml:space="preserve">8.49%</w:t>
            </w:r>
          </w:p>
        </w:tc>
        <w:tc>
          <w:tcPr/>
          <w:p>
            <w:pPr>
              <w:pStyle w:val="Compact"/>
              <w:jc w:val="right"/>
            </w:pPr>
            <w:r>
              <w:t xml:space="preserve">0.0178</w:t>
            </w:r>
          </w:p>
        </w:tc>
        <w:tc>
          <w:tcPr/>
          <w:p>
            <w:pPr>
              <w:pStyle w:val="Compact"/>
              <w:jc w:val="right"/>
            </w:pPr>
            <w:r>
              <w:t xml:space="preserve">0.0173</w:t>
            </w:r>
          </w:p>
        </w:tc>
        <w:tc>
          <w:tcPr/>
          <w:p>
            <w:pPr>
              <w:pStyle w:val="Compact"/>
              <w:jc w:val="right"/>
            </w:pPr>
            <w:r>
              <w:t xml:space="preserve">26.6 ms</w:t>
            </w:r>
          </w:p>
        </w:tc>
      </w:tr>
      <w:tr>
        <w:tc>
          <w:tcPr/>
          <w:p>
            <w:pPr>
              <w:pStyle w:val="Compact"/>
            </w:pPr>
            <w:r>
              <w:rPr>
                <w:b/>
                <w:bCs/>
              </w:rPr>
              <w:t xml:space="preserve">Gemma 3 270M (Extended)</w:t>
            </w:r>
          </w:p>
        </w:tc>
        <w:tc>
          <w:tcPr/>
          <w:p>
            <w:pPr>
              <w:pStyle w:val="Compact"/>
              <w:jc w:val="right"/>
            </w:pPr>
            <w:r>
              <w:t xml:space="preserve">268M</w:t>
            </w:r>
          </w:p>
        </w:tc>
        <w:tc>
          <w:tcPr/>
          <w:p>
            <w:pPr>
              <w:pStyle w:val="Compact"/>
            </w:pPr>
            <w:r>
              <w:t xml:space="preserve">Cross-encoder (+100 tokens, 3 epochs)</w:t>
            </w:r>
          </w:p>
        </w:tc>
        <w:tc>
          <w:tcPr/>
          <w:p>
            <w:pPr>
              <w:pStyle w:val="Compact"/>
              <w:jc w:val="right"/>
            </w:pPr>
            <w:r>
              <w:t xml:space="preserve">60.88%</w:t>
            </w:r>
          </w:p>
        </w:tc>
        <w:tc>
          <w:tcPr/>
          <w:p>
            <w:pPr>
              <w:pStyle w:val="Compact"/>
              <w:jc w:val="right"/>
            </w:pPr>
            <w:r>
              <w:t xml:space="preserve">77.86%</w:t>
            </w:r>
          </w:p>
        </w:tc>
        <w:tc>
          <w:tcPr/>
          <w:p>
            <w:pPr>
              <w:pStyle w:val="Compact"/>
              <w:jc w:val="right"/>
            </w:pPr>
            <w:r>
              <w:t xml:space="preserve">84.17%</w:t>
            </w:r>
          </w:p>
        </w:tc>
        <w:tc>
          <w:tcPr/>
          <w:p>
            <w:pPr>
              <w:pStyle w:val="Compact"/>
              <w:jc w:val="right"/>
            </w:pPr>
            <w:r>
              <w:t xml:space="preserve">0.4240</w:t>
            </w:r>
          </w:p>
        </w:tc>
        <w:tc>
          <w:tcPr/>
          <w:p>
            <w:pPr>
              <w:pStyle w:val="Compact"/>
              <w:jc w:val="right"/>
            </w:pPr>
            <w:r>
              <w:rPr>
                <w:b/>
                <w:bCs/>
              </w:rPr>
              <w:t xml:space="preserve">0.0259</w:t>
            </w:r>
          </w:p>
        </w:tc>
        <w:tc>
          <w:tcPr/>
          <w:p>
            <w:pPr>
              <w:pStyle w:val="Compact"/>
              <w:jc w:val="right"/>
            </w:pPr>
            <w:r>
              <w:t xml:space="preserve">413.1 ms</w:t>
            </w:r>
          </w:p>
        </w:tc>
      </w:tr>
      <w:tr>
        <w:tc>
          <w:tcPr/>
          <w:p>
            <w:pPr>
              <w:pStyle w:val="Compact"/>
            </w:pPr>
            <w:r>
              <w:rPr>
                <w:b/>
                <w:bCs/>
              </w:rPr>
              <w:t xml:space="preserve">ModernBERT System-1</w:t>
            </w:r>
          </w:p>
        </w:tc>
        <w:tc>
          <w:tcPr/>
          <w:p>
            <w:pPr>
              <w:pStyle w:val="Compact"/>
              <w:jc w:val="right"/>
            </w:pPr>
            <w:r>
              <w:t xml:space="preserve">149M</w:t>
            </w:r>
          </w:p>
        </w:tc>
        <w:tc>
          <w:tcPr/>
          <w:p>
            <w:pPr>
              <w:pStyle w:val="Compact"/>
            </w:pPr>
            <w:r>
              <w:t xml:space="preserve">Marker head (+100 tokens, 4 ep, label smooth)</w:t>
            </w:r>
          </w:p>
        </w:tc>
        <w:tc>
          <w:tcPr/>
          <w:p>
            <w:pPr>
              <w:pStyle w:val="Compact"/>
              <w:jc w:val="right"/>
            </w:pPr>
            <w:r>
              <w:t xml:space="preserve">63.07%</w:t>
            </w:r>
          </w:p>
        </w:tc>
        <w:tc>
          <w:tcPr/>
          <w:p>
            <w:pPr>
              <w:pStyle w:val="Compact"/>
              <w:jc w:val="right"/>
            </w:pPr>
            <w:r>
              <w:t xml:space="preserve">78.79%</w:t>
            </w:r>
          </w:p>
        </w:tc>
        <w:tc>
          <w:tcPr/>
          <w:p>
            <w:pPr>
              <w:pStyle w:val="Compact"/>
              <w:jc w:val="right"/>
            </w:pPr>
            <w:r>
              <w:t xml:space="preserve">86.67%</w:t>
            </w:r>
          </w:p>
        </w:tc>
        <w:tc>
          <w:tcPr/>
          <w:p>
            <w:pPr>
              <w:pStyle w:val="Compact"/>
              <w:jc w:val="right"/>
            </w:pPr>
            <w:r>
              <w:t xml:space="preserve">0.3836</w:t>
            </w:r>
          </w:p>
        </w:tc>
        <w:tc>
          <w:tcPr/>
          <w:p>
            <w:pPr>
              <w:pStyle w:val="Compact"/>
              <w:jc w:val="right"/>
            </w:pPr>
            <w:r>
              <w:t xml:space="preserve">0.0358</w:t>
            </w:r>
          </w:p>
        </w:tc>
        <w:tc>
          <w:tcPr/>
          <w:p>
            <w:pPr>
              <w:pStyle w:val="Compact"/>
              <w:jc w:val="right"/>
            </w:pPr>
            <w:r>
              <w:t xml:space="preserve">35.7 ms</w:t>
            </w:r>
          </w:p>
        </w:tc>
      </w:tr>
      <w:tr>
        <w:tc>
          <w:tcPr/>
          <w:p>
            <w:pPr>
              <w:pStyle w:val="Compact"/>
            </w:pPr>
            <w:r>
              <w:rPr>
                <w:b/>
                <w:bCs/>
              </w:rPr>
              <w:t xml:space="preserve">TF-IDF + Linear SVM</w:t>
            </w:r>
          </w:p>
        </w:tc>
        <w:tc>
          <w:tcPr/>
          <w:p>
            <w:pPr>
              <w:pStyle w:val="Compact"/>
              <w:jc w:val="right"/>
            </w:pPr>
            <w:r>
              <w:t xml:space="preserve">N/A</w:t>
            </w:r>
          </w:p>
        </w:tc>
        <w:tc>
          <w:tcPr/>
          <w:p>
            <w:pPr>
              <w:pStyle w:val="Compact"/>
            </w:pPr>
            <w:r>
              <w:t xml:space="preserve">Sparse n-grams (5,000 features) + vitals + sex</w:t>
            </w:r>
          </w:p>
        </w:tc>
        <w:tc>
          <w:tcPr/>
          <w:p>
            <w:pPr>
              <w:pStyle w:val="Compact"/>
              <w:jc w:val="right"/>
            </w:pPr>
            <w:r>
              <w:t xml:space="preserve">65.38%</w:t>
            </w:r>
          </w:p>
        </w:tc>
        <w:tc>
          <w:tcPr/>
          <w:p>
            <w:pPr>
              <w:pStyle w:val="Compact"/>
              <w:jc w:val="right"/>
            </w:pPr>
            <w:r>
              <w:t xml:space="preserve">80.02%</w:t>
            </w:r>
          </w:p>
        </w:tc>
        <w:tc>
          <w:tcPr/>
          <w:p>
            <w:pPr>
              <w:pStyle w:val="Compact"/>
              <w:jc w:val="right"/>
            </w:pPr>
            <w:r>
              <w:t xml:space="preserve">87.39%</w:t>
            </w:r>
          </w:p>
        </w:tc>
        <w:tc>
          <w:tcPr/>
          <w:p>
            <w:pPr>
              <w:pStyle w:val="Compact"/>
              <w:jc w:val="right"/>
            </w:pPr>
            <w:r>
              <w:rPr>
                <w:b/>
                <w:bCs/>
              </w:rPr>
              <w:t xml:space="preserve">0.5311</w:t>
            </w:r>
          </w:p>
        </w:tc>
        <w:tc>
          <w:tcPr/>
          <w:p>
            <w:pPr>
              <w:pStyle w:val="Compact"/>
              <w:jc w:val="right"/>
            </w:pPr>
            <w:r>
              <w:t xml:space="preserve">0.0581</w:t>
            </w:r>
          </w:p>
        </w:tc>
        <w:tc>
          <w:tcPr/>
          <w:p>
            <w:pPr>
              <w:pStyle w:val="Compact"/>
              <w:jc w:val="right"/>
            </w:pPr>
            <w:r>
              <w:rPr>
                <w:b/>
                <w:bCs/>
              </w:rPr>
              <w:t xml:space="preserve">&lt;2.0 ms</w:t>
            </w:r>
          </w:p>
        </w:tc>
      </w:tr>
      <w:tr>
        <w:tc>
          <w:tcPr/>
          <w:p>
            <w:pPr>
              <w:pStyle w:val="Compact"/>
            </w:pPr>
            <w:r>
              <w:rPr>
                <w:b/>
                <w:bCs/>
              </w:rPr>
              <w:t xml:space="preserve">ELECTRA-Small System-1</w:t>
            </w:r>
          </w:p>
        </w:tc>
        <w:tc>
          <w:tcPr/>
          <w:p>
            <w:pPr>
              <w:pStyle w:val="Compact"/>
              <w:jc w:val="right"/>
            </w:pPr>
            <w:r>
              <w:rPr>
                <w:b/>
                <w:bCs/>
              </w:rPr>
              <w:t xml:space="preserve">13.5M</w:t>
            </w:r>
          </w:p>
        </w:tc>
        <w:tc>
          <w:tcPr/>
          <w:p>
            <w:pPr>
              <w:pStyle w:val="Compact"/>
            </w:pPr>
            <w:r>
              <w:rPr>
                <w:b/>
                <w:bCs/>
              </w:rPr>
              <w:t xml:space="preserve">Marker head (+100 tokens, Peak Epoch 13, label smooth)</w:t>
            </w:r>
          </w:p>
        </w:tc>
        <w:tc>
          <w:tcPr/>
          <w:p>
            <w:pPr>
              <w:pStyle w:val="Compact"/>
              <w:jc w:val="right"/>
            </w:pPr>
            <w:r>
              <w:rPr>
                <w:b/>
                <w:bCs/>
              </w:rPr>
              <w:t xml:space="preserve">67.78%</w:t>
            </w:r>
          </w:p>
        </w:tc>
        <w:tc>
          <w:tcPr/>
          <w:p>
            <w:pPr>
              <w:pStyle w:val="Compact"/>
              <w:jc w:val="right"/>
            </w:pPr>
            <w:r>
              <w:rPr>
                <w:b/>
                <w:bCs/>
              </w:rPr>
              <w:t xml:space="preserve">84.25%</w:t>
            </w:r>
          </w:p>
        </w:tc>
        <w:tc>
          <w:tcPr/>
          <w:p>
            <w:pPr>
              <w:pStyle w:val="Compact"/>
              <w:jc w:val="right"/>
            </w:pPr>
            <w:r>
              <w:rPr>
                <w:b/>
                <w:bCs/>
              </w:rPr>
              <w:t xml:space="preserve">90.69%</w:t>
            </w:r>
          </w:p>
        </w:tc>
        <w:tc>
          <w:tcPr/>
          <w:p>
            <w:pPr>
              <w:pStyle w:val="Compact"/>
              <w:jc w:val="right"/>
            </w:pPr>
            <w:r>
              <w:t xml:space="preserve">0.5086</w:t>
            </w:r>
          </w:p>
        </w:tc>
        <w:tc>
          <w:tcPr/>
          <w:p>
            <w:pPr>
              <w:pStyle w:val="Compact"/>
              <w:jc w:val="right"/>
            </w:pPr>
            <w:r>
              <w:rPr>
                <w:b/>
                <w:bCs/>
              </w:rPr>
              <w:t xml:space="preserve">0.0357 / 0.0418</w:t>
            </w:r>
          </w:p>
        </w:tc>
        <w:tc>
          <w:tcPr/>
          <w:p>
            <w:pPr>
              <w:pStyle w:val="Compact"/>
              <w:jc w:val="right"/>
            </w:pPr>
            <w:r>
              <w:rPr>
                <w:b/>
                <w:bCs/>
              </w:rPr>
              <w:t xml:space="preserve">3.2 ms</w:t>
            </w:r>
          </w:p>
        </w:tc>
      </w:tr>
    </w:tbl>
    <w:p>
      <w:pPr>
        <w:pStyle w:val="FirstParagraph"/>
      </w:pPr>
      <w:r>
        <w:rPr>
          <w:i/>
          <w:iCs/>
        </w:rPr>
        <w:t xml:space="preserve">Note: Baseline chance level across 29 discrete classes is</w:t>
      </w:r>
      <w:r>
        <w:rPr>
          <w:i/>
          <w:iCs/>
        </w:rPr>
        <w:t xml:space="preserve"> </w:t>
      </w:r>
      <m:oMath>
        <m:r>
          <m:t>1</m:t>
        </m:r>
        <m:r>
          <m:rPr>
            <m:sty m:val="p"/>
          </m:rPr>
          <m:t>/</m:t>
        </m:r>
        <m:r>
          <m:t>29</m:t>
        </m:r>
        <m:r>
          <m:rPr>
            <m:sty m:val="p"/>
          </m:rPr>
          <m:t>≈</m:t>
        </m:r>
        <m:r>
          <m:t>3.45</m:t>
        </m:r>
        <m:r>
          <m:rPr>
            <m:sty m:val="p"/>
          </m:rPr>
          <m:t>%</m:t>
        </m:r>
      </m:oMath>
      <w:r>
        <w:rPr>
          <w:i/>
          <w:iCs/>
        </w:rPr>
        <w:t xml:space="preserve">. Latency reflects Apple Silicon GPU execution; CPU INT8 latency for ELECTRA-Small is 14.1 ms. openJev zero-shot utilized English criteria prompts (scoring 1.86% with native Indonesian criteria). All models were evaluated on the identical 3,758 encounters of the out-of-city population shift benchmark (</w:t>
      </w:r>
      <w:r>
        <w:rPr>
          <w:rStyle w:val="VerbatimChar"/>
          <w:i/>
          <w:iCs/>
        </w:rPr>
        <w:t xml:space="preserve">kdesa = XXX</w:t>
      </w:r>
      <w:r>
        <w:rPr>
          <w:i/>
          <w:iCs/>
        </w:rPr>
        <w:t xml:space="preserve">). ELECTRA-Small ECE is reported as raw (</w:t>
      </w:r>
      <m:oMath>
        <m:r>
          <m:t>T</m:t>
        </m:r>
        <m:r>
          <m:rPr>
            <m:sty m:val="p"/>
          </m:rPr>
          <m:t>=</m:t>
        </m:r>
        <m:r>
          <m:t>1.0</m:t>
        </m:r>
      </m:oMath>
      <w:r>
        <w:rPr>
          <w:i/>
          <w:iCs/>
        </w:rPr>
        <w:t xml:space="preserve">) / temperature-scaled (</w:t>
      </w:r>
      <m:oMath>
        <m:r>
          <m:t>T</m:t>
        </m:r>
        <m:r>
          <m:rPr>
            <m:sty m:val="p"/>
          </m:rPr>
          <m:t>=</m:t>
        </m:r>
        <m:r>
          <m:t>0.90</m:t>
        </m:r>
      </m:oMath>
      <w:r>
        <w:rPr>
          <w:i/>
          <w:iCs/>
        </w:rPr>
        <w:t xml:space="preserve">).</w:t>
      </w:r>
    </w:p>
    <w:p>
      <w:pPr>
        <w:pStyle w:val="BodyText"/>
      </w:pPr>
      <w:r>
        <w:t xml:space="preserve">Three primary findings emerge from this benchmark:</w:t>
      </w:r>
    </w:p>
    <w:p>
      <w:pPr>
        <w:pStyle w:val="Compact"/>
        <w:numPr>
          <w:ilvl w:val="0"/>
          <w:numId w:val="1006"/>
        </w:numPr>
      </w:pPr>
      <w:r>
        <w:rPr>
          <w:b/>
          <w:bCs/>
        </w:rPr>
        <w:t xml:space="preserve">Unadapted zero-shot models fail on local clinical text</w:t>
      </w:r>
      <w:r>
        <w:t xml:space="preserve">: All unadapted zero-shot baselines (TinyDecide at 1.09%, Gemma 3 270M at 2.32%, and openJev at 5.46% Top-1) operated near or below the 3.45% random guess floor. Because general-domain models lack in-domain Indonesian and Javanese somatic vocabulary, unadapted tokenizers fragment clinical complaints, causing raw zero-shot predictions to behave as ungrounded guesses. The failure of unadapted models establishes the empirical necessity of clinical vocabulary expansion and in-domain fine-tuning: once adapted, Gemma 3 surged to</w:t>
      </w:r>
      <w:r>
        <w:t xml:space="preserve"> </w:t>
      </w:r>
      <w:r>
        <w:rPr>
          <w:b/>
          <w:bCs/>
        </w:rPr>
        <w:t xml:space="preserve">60.88% Top-1</w:t>
      </w:r>
      <w:r>
        <w:t xml:space="preserve"> </w:t>
      </w:r>
      <w:r>
        <w:t xml:space="preserve">(84.17% Top-3; +58.56 percentage points) and ModernBERT reached</w:t>
      </w:r>
      <w:r>
        <w:t xml:space="preserve"> </w:t>
      </w:r>
      <w:r>
        <w:rPr>
          <w:b/>
          <w:bCs/>
        </w:rPr>
        <w:t xml:space="preserve">63.07% Top-1</w:t>
      </w:r>
      <w:r>
        <w:t xml:space="preserve"> </w:t>
      </w:r>
      <w:r>
        <w:t xml:space="preserve">(86.67% Top-3; +57.61 percentage points).</w:t>
      </w:r>
    </w:p>
    <w:p>
      <w:pPr>
        <w:pStyle w:val="Compact"/>
        <w:numPr>
          <w:ilvl w:val="0"/>
          <w:numId w:val="1006"/>
        </w:numPr>
      </w:pPr>
      <w:r>
        <w:rPr>
          <w:b/>
          <w:bCs/>
        </w:rPr>
        <w:t xml:space="preserve">ELECTRA-Small 13.5M outperforms all models</w:t>
      </w:r>
      <w:r>
        <w:t xml:space="preserve">: The ultra-compact ELECTRA-Small System-1 engine achieved</w:t>
      </w:r>
      <w:r>
        <w:t xml:space="preserve"> </w:t>
      </w:r>
      <w:r>
        <w:rPr>
          <w:b/>
          <w:bCs/>
        </w:rPr>
        <w:t xml:space="preserve">67.78% Top-1</w:t>
      </w:r>
      <w:r>
        <w:t xml:space="preserve">,</w:t>
      </w:r>
      <w:r>
        <w:t xml:space="preserve"> </w:t>
      </w:r>
      <w:r>
        <w:rPr>
          <w:b/>
          <w:bCs/>
        </w:rPr>
        <w:t xml:space="preserve">84.25% Top-2</w:t>
      </w:r>
      <w:r>
        <w:t xml:space="preserve">, and</w:t>
      </w:r>
      <w:r>
        <w:t xml:space="preserve"> </w:t>
      </w:r>
      <w:r>
        <w:rPr>
          <w:b/>
          <w:bCs/>
        </w:rPr>
        <w:t xml:space="preserve">90.69% Top-3 accuracy</w:t>
      </w:r>
      <w:r>
        <w:t xml:space="preserve">. It surpassed the classical Linear SVM baseline by</w:t>
      </w:r>
      <w:r>
        <w:t xml:space="preserve"> </w:t>
      </w:r>
      <w:r>
        <w:rPr>
          <w:b/>
          <w:bCs/>
        </w:rPr>
        <w:t xml:space="preserve">+2.40 percentage points in Top-1</w:t>
      </w:r>
      <w:r>
        <w:t xml:space="preserve"> </w:t>
      </w:r>
      <w:r>
        <w:t xml:space="preserve">(67.78% versus 65.38%) and</w:t>
      </w:r>
      <w:r>
        <w:t xml:space="preserve"> </w:t>
      </w:r>
      <w:r>
        <w:rPr>
          <w:b/>
          <w:bCs/>
        </w:rPr>
        <w:t xml:space="preserve">+3.30 percentage points in Top-3</w:t>
      </w:r>
      <w:r>
        <w:t xml:space="preserve"> </w:t>
      </w:r>
      <w:r>
        <w:t xml:space="preserve">(90.69% versus 87.39%). Furthermore, ELECTRA-Small outperformed the 20-fold larger Gemma 3 270M cross-encoder by</w:t>
      </w:r>
      <w:r>
        <w:t xml:space="preserve"> </w:t>
      </w:r>
      <w:r>
        <w:rPr>
          <w:b/>
          <w:bCs/>
        </w:rPr>
        <w:t xml:space="preserve">+6.90 percentage points in Top-1</w:t>
      </w:r>
      <w:r>
        <w:t xml:space="preserve"> </w:t>
      </w:r>
      <w:r>
        <w:t xml:space="preserve">(67.78% versus 60.88%) and</w:t>
      </w:r>
      <w:r>
        <w:t xml:space="preserve"> </w:t>
      </w:r>
      <w:r>
        <w:rPr>
          <w:b/>
          <w:bCs/>
        </w:rPr>
        <w:t xml:space="preserve">+6.52 percentage points in Top-3</w:t>
      </w:r>
      <w:r>
        <w:t xml:space="preserve"> </w:t>
      </w:r>
      <w:r>
        <w:t xml:space="preserve">(90.69% versus 84.17%) while executing over 120 times faster (3.2 ms versus 413.1 ms).</w:t>
      </w:r>
    </w:p>
    <w:p>
      <w:pPr>
        <w:pStyle w:val="Compact"/>
        <w:numPr>
          <w:ilvl w:val="0"/>
          <w:numId w:val="1006"/>
        </w:numPr>
      </w:pPr>
      <w:r>
        <w:rPr>
          <w:b/>
          <w:bCs/>
        </w:rPr>
        <w:t xml:space="preserve">Macro-F₁ discrimination and class-balance dynamics</w:t>
      </w:r>
      <w:r>
        <w:t xml:space="preserve">: In balanced multi-class discrimination, ELECTRA-Small achieved a macro-averaged F₁ score of</w:t>
      </w:r>
      <w:r>
        <w:t xml:space="preserve"> </w:t>
      </w:r>
      <w:r>
        <w:rPr>
          <w:b/>
          <w:bCs/>
        </w:rPr>
        <w:t xml:space="preserve">0.5086</w:t>
      </w:r>
      <w:r>
        <w:t xml:space="preserve">, substantially outperforming ModernBERT (</w:t>
      </w:r>
      <w:r>
        <w:rPr>
          <w:b/>
          <w:bCs/>
        </w:rPr>
        <w:t xml:space="preserve">0.3836</w:t>
      </w:r>
      <w:r>
        <w:t xml:space="preserve">, a +12.50 percentage point advantage) and approaching the tuned Linear SVM baseline (</w:t>
      </w:r>
      <w:r>
        <w:rPr>
          <w:b/>
          <w:bCs/>
        </w:rPr>
        <w:t xml:space="preserve">0.5311</w:t>
      </w:r>
      <w:r>
        <w:t xml:space="preserve">, within 0.0225). Linear SVM classifiers achieve a slightly higher macro-average because maximum-margin hyperplanes over high-dimensional sparse n-grams (5,000 features) can memorize isolated lexical tokens for rare diseases with minimal training examples, whereas neural transformers require sufficient gradient mass to generalize across continuous semantic embeddings. Nevertheless, ELECTRA-Small delivers superior patient-level coverage across the full cohort while maintaining competitive balanced discrimination.</w:t>
      </w:r>
    </w:p>
    <w:p>
      <w:pPr>
        <w:pStyle w:val="FirstParagraph"/>
      </w:pPr>
      <w:r>
        <w:t xml:space="preserve">Figure 2 visualizes the empirical performance scaling, calibration reliability, and multi-epoch training progression.</w:t>
      </w:r>
    </w:p>
    <w:p>
      <w:pPr>
        <w:pStyle w:val="CaptionedFigure"/>
      </w:pPr>
      <w:r>
        <w:drawing>
          <wp:inline>
            <wp:extent cx="5334000" cy="1574617"/>
            <wp:effectExtent b="0" l="0" r="0" t="0"/>
            <wp:docPr descr="Figure 2: Empirical Validation Panels" title="" id="28" name="Picture"/>
            <a:graphic>
              <a:graphicData uri="http://schemas.openxmlformats.org/drawingml/2006/picture">
                <pic:pic>
                  <pic:nvPicPr>
                    <pic:cNvPr descr="figures/figure2_empirical_panels.png" id="29" name="Picture"/>
                    <pic:cNvPicPr>
                      <a:picLocks noChangeArrowheads="1" noChangeAspect="1"/>
                    </pic:cNvPicPr>
                  </pic:nvPicPr>
                  <pic:blipFill>
                    <a:blip r:embed="rId27"/>
                    <a:stretch>
                      <a:fillRect/>
                    </a:stretch>
                  </pic:blipFill>
                  <pic:spPr bwMode="auto">
                    <a:xfrm>
                      <a:off x="0" y="0"/>
                      <a:ext cx="5334000" cy="1574617"/>
                    </a:xfrm>
                    <a:prstGeom prst="rect">
                      <a:avLst/>
                    </a:prstGeom>
                    <a:noFill/>
                    <a:ln w="9525">
                      <a:noFill/>
                      <a:headEnd/>
                      <a:tailEnd/>
                    </a:ln>
                  </pic:spPr>
                </pic:pic>
              </a:graphicData>
            </a:graphic>
          </wp:inline>
        </w:drawing>
      </w:r>
    </w:p>
    <w:p>
      <w:pPr>
        <w:pStyle w:val="ImageCaption"/>
      </w:pPr>
      <w:r>
        <w:t xml:space="preserve">Figure 2: Empirical Validation Panels</w:t>
      </w:r>
    </w:p>
    <w:p>
      <w:pPr>
        <w:pStyle w:val="FirstParagraph"/>
      </w:pPr>
      <w:r>
        <w:rPr>
          <w:b/>
          <w:bCs/>
        </w:rPr>
        <w:t xml:space="preserve">Figure 2.</w:t>
      </w:r>
      <w:r>
        <w:t xml:space="preserve"> </w:t>
      </w:r>
      <w:r>
        <w:t xml:space="preserve">Multi-panel empirical validation of System-1 decision architectures on the out-of-city population shift benchmark (</w:t>
      </w:r>
      <m:oMath>
        <m:r>
          <m:t>n</m:t>
        </m:r>
        <m:r>
          <m:rPr>
            <m:sty m:val="p"/>
          </m:rPr>
          <m:t>=</m:t>
        </m:r>
        <m:r>
          <m:t>3</m:t>
        </m:r>
        <m:r>
          <m:rPr>
            <m:sty m:val="p"/>
          </m:rPr>
          <m:t>,</m:t>
        </m:r>
        <m:r>
          <m:t>758</m:t>
        </m:r>
      </m:oMath>
      <w:r>
        <w:t xml:space="preserve">). (A) Differential diagnostic accuracy scaling across Top-</w:t>
      </w:r>
      <m:oMath>
        <m:r>
          <m:t>K</m:t>
        </m:r>
      </m:oMath>
      <w:r>
        <w:t xml:space="preserve"> </w:t>
      </w:r>
      <w:r>
        <w:t xml:space="preserve">windows (</w:t>
      </w:r>
      <m:oMath>
        <m:r>
          <m:t>K</m:t>
        </m:r>
        <m:r>
          <m:rPr>
            <m:sty m:val="p"/>
          </m:rPr>
          <m:t>∈</m:t>
        </m:r>
        <m:r>
          <m:rPr>
            <m:sty m:val="p"/>
          </m:rPr>
          <m:t>{</m:t>
        </m:r>
        <m:r>
          <m:t>1</m:t>
        </m:r>
        <m:r>
          <m:rPr>
            <m:sty m:val="p"/>
          </m:rPr>
          <m:t>,</m:t>
        </m:r>
        <m:r>
          <m:t>2</m:t>
        </m:r>
        <m:r>
          <m:rPr>
            <m:sty m:val="p"/>
          </m:rPr>
          <m:t>,</m:t>
        </m:r>
        <m:r>
          <m:t>3</m:t>
        </m:r>
        <m:r>
          <m:rPr>
            <m:sty m:val="p"/>
          </m:rPr>
          <m:t>}</m:t>
        </m:r>
      </m:oMath>
      <w:r>
        <w:t xml:space="preserve">), highlighting ELECTRA-Small breaking the 90% primary care triage threshold. (B) Reliability calibration curves comparing temperature-calibrated ELECTRA-Small (ECE = 0.0418) against uncalibrated outputs. (C) Multi-epoch validation trajectory across 16 training epochs on 17,163 resident visits, demonstrating peak validation performance at Epoch 13 (60.23% Dev Top-1) and subsequent plateau/decline.</w:t>
      </w:r>
    </w:p>
    <w:bookmarkEnd w:id="30"/>
    <w:bookmarkStart w:id="31" w:name="_b7f2ec1d56a1e2df720ac96d9e122f82ba8f166"/>
    <w:p>
      <w:pPr>
        <w:pStyle w:val="Heading3"/>
      </w:pPr>
      <w:r>
        <w:t xml:space="preserve">3.2 Training dynamics and multi-epoch inflection point</w:t>
      </w:r>
    </w:p>
    <w:p>
      <w:pPr>
        <w:pStyle w:val="FirstParagraph"/>
      </w:pPr>
      <w:r>
        <w:t xml:space="preserve">Training trajectory analysis across the 16 epochs of ELECTRA-Small optimization demonstrated a clear empirical peak and validation decline:</w:t>
      </w:r>
    </w:p>
    <w:p>
      <w:pPr>
        <w:pStyle w:val="Compact"/>
        <w:numPr>
          <w:ilvl w:val="0"/>
          <w:numId w:val="1007"/>
        </w:numPr>
      </w:pPr>
      <w:r>
        <w:t xml:space="preserve">During Epochs 1 to 8, validation performance ascended steadily, rising from 36.34% Dev Top-1 (Epoch 1) to 48.73% (Epoch 2), 53.93% (Epoch 4), and 59.96% (Epoch 8).</w:t>
      </w:r>
    </w:p>
    <w:p>
      <w:pPr>
        <w:pStyle w:val="Compact"/>
        <w:numPr>
          <w:ilvl w:val="0"/>
          <w:numId w:val="1007"/>
        </w:numPr>
      </w:pPr>
      <w:r>
        <w:t xml:space="preserve">Resuming training with a refined learning rate (</w:t>
      </w:r>
      <m:oMath>
        <m:r>
          <m:rPr>
            <m:nor/>
            <m:sty m:val="p"/>
          </m:rPr>
          <m:t>lr</m:t>
        </m:r>
        <m:r>
          <m:rPr>
            <m:sty m:val="p"/>
          </m:rPr>
          <m:t>=</m:t>
        </m:r>
        <m:r>
          <m:t>1</m:t>
        </m:r>
        <m:r>
          <m:rPr>
            <m:sty m:val="p"/>
          </m:rPr>
          <m:t>×</m:t>
        </m:r>
        <m:sSup>
          <m:e>
            <m:r>
              <m:t>10</m:t>
            </m:r>
          </m:e>
          <m:sup>
            <m:r>
              <m:rPr>
                <m:sty m:val="p"/>
              </m:rPr>
              <m:t>−</m:t>
            </m:r>
            <m:r>
              <m:t>4</m:t>
            </m:r>
          </m:sup>
        </m:sSup>
      </m:oMath>
      <w:r>
        <w:t xml:space="preserve">) pushed validation accuracy to its global peak at</w:t>
      </w:r>
      <w:r>
        <w:t xml:space="preserve"> </w:t>
      </w:r>
      <w:r>
        <w:rPr>
          <w:b/>
          <w:bCs/>
        </w:rPr>
        <w:t xml:space="preserve">Epoch 13</w:t>
      </w:r>
      <w:r>
        <w:t xml:space="preserve">, reaching</w:t>
      </w:r>
      <w:r>
        <w:t xml:space="preserve"> </w:t>
      </w:r>
      <w:r>
        <w:rPr>
          <w:b/>
          <w:bCs/>
        </w:rPr>
        <w:t xml:space="preserve">60.23% Dev Top-1</w:t>
      </w:r>
      <w:r>
        <w:t xml:space="preserve"> </w:t>
      </w:r>
      <w:r>
        <w:t xml:space="preserve">and</w:t>
      </w:r>
      <w:r>
        <w:t xml:space="preserve"> </w:t>
      </w:r>
      <w:r>
        <w:rPr>
          <w:b/>
          <w:bCs/>
        </w:rPr>
        <w:t xml:space="preserve">89.05% Dev Top-3</w:t>
      </w:r>
      <w:r>
        <w:t xml:space="preserve"> </w:t>
      </w:r>
      <w:r>
        <w:t xml:space="preserve">accuracy (training loss 1.4338).</w:t>
      </w:r>
    </w:p>
    <w:p>
      <w:pPr>
        <w:pStyle w:val="Compact"/>
        <w:numPr>
          <w:ilvl w:val="0"/>
          <w:numId w:val="1007"/>
        </w:numPr>
      </w:pPr>
      <w:r>
        <w:t xml:space="preserve">Beyond Epoch 13, training loss continued to descend monotonically (from 1.4338 at Epoch 13 to 1.3616 at Epoch 16), but validation accuracy plateaued at Epoch 14 (60.23%) and declined to 60.07% (Epoch 15) and 59.73% (Epoch 16).</w:t>
      </w:r>
    </w:p>
    <w:p>
      <w:pPr>
        <w:pStyle w:val="Compact"/>
        <w:numPr>
          <w:ilvl w:val="0"/>
          <w:numId w:val="1007"/>
        </w:numPr>
      </w:pPr>
      <w:r>
        <w:t xml:space="preserve">Evaluating the peak Epoch 13 checkpoint on the unseen out-of-city holdout delivered the final benchmark performance:</w:t>
      </w:r>
      <w:r>
        <w:t xml:space="preserve"> </w:t>
      </w:r>
      <w:r>
        <w:rPr>
          <w:b/>
          <w:bCs/>
        </w:rPr>
        <w:t xml:space="preserve">67.78% Top-1</w:t>
      </w:r>
      <w:r>
        <w:t xml:space="preserve">,</w:t>
      </w:r>
      <w:r>
        <w:t xml:space="preserve"> </w:t>
      </w:r>
      <w:r>
        <w:rPr>
          <w:b/>
          <w:bCs/>
        </w:rPr>
        <w:t xml:space="preserve">84.25% Top-2</w:t>
      </w:r>
      <w:r>
        <w:t xml:space="preserve">, and</w:t>
      </w:r>
      <w:r>
        <w:t xml:space="preserve"> </w:t>
      </w:r>
      <w:r>
        <w:rPr>
          <w:b/>
          <w:bCs/>
        </w:rPr>
        <w:t xml:space="preserve">90.69% Top-3</w:t>
      </w:r>
      <w:r>
        <w:t xml:space="preserve"> </w:t>
      </w:r>
      <w:r>
        <w:t xml:space="preserve">accuracy with a Brier score of 0.4204.</w:t>
      </w:r>
    </w:p>
    <w:bookmarkEnd w:id="31"/>
    <w:bookmarkStart w:id="32" w:name="_79536b59cb05ee6dd8edb5a31e43554995ea1e4"/>
    <w:p>
      <w:pPr>
        <w:pStyle w:val="Heading3"/>
      </w:pPr>
      <w:r>
        <w:t xml:space="preserve">3.3 Cross-modal feature contribution and context ablation</w:t>
      </w:r>
    </w:p>
    <w:p>
      <w:pPr>
        <w:pStyle w:val="FirstParagraph"/>
      </w:pPr>
      <w:r>
        <w:t xml:space="preserve">To evaluate whether clinical decision support can operate solely on narrative anamnesis text or requires structured physiological vitals, we conducted a systematic ablation study on the 3,758 holdout encounters using the peak ELECTRA-Small model.</w:t>
      </w:r>
    </w:p>
    <w:p>
      <w:pPr>
        <w:pStyle w:val="BodyText"/>
      </w:pPr>
      <w:r>
        <w:t xml:space="preserve">Table 3 reports performance across full, narrative-only, and vitals-only input configurations.</w:t>
      </w:r>
    </w:p>
    <w:p>
      <w:pPr>
        <w:pStyle w:val="BodyText"/>
      </w:pPr>
      <w:r>
        <w:rPr>
          <w:b/>
          <w:bCs/>
        </w:rPr>
        <w:t xml:space="preserve">Table 3.</w:t>
      </w:r>
      <w:r>
        <w:t xml:space="preserve"> </w:t>
      </w:r>
      <w:r>
        <w:t xml:space="preserve">Cross-modal feature contribution and clinical context ablation on ELECTRA-Small (</w:t>
      </w:r>
      <m:oMath>
        <m:r>
          <m:t>n</m:t>
        </m:r>
        <m:r>
          <m:rPr>
            <m:sty m:val="p"/>
          </m:rPr>
          <m:t>=</m:t>
        </m:r>
        <m:r>
          <m:t>3</m:t>
        </m:r>
        <m:r>
          <m:rPr>
            <m:sty m:val="p"/>
          </m:rPr>
          <m:t>,</m:t>
        </m:r>
        <m:r>
          <m:t>758</m:t>
        </m:r>
      </m:oMath>
      <w:r>
        <w:t xml:space="preserve">).</w:t>
      </w:r>
    </w:p>
    <w:tbl>
      <w:tblPr>
        <w:tblStyle w:val="Table"/>
        <w:tblW w:type="pct" w:w="5000"/>
        <w:tblLayout w:type="fixed"/>
        <w:tblLook w:firstRow="1" w:lastRow="0" w:firstColumn="0" w:lastColumn="0" w:noHBand="0" w:noVBand="0" w:val="0020"/>
      </w:tblPr>
      <w:tblGrid>
        <w:gridCol w:w="1492"/>
        <w:gridCol w:w="2114"/>
        <w:gridCol w:w="663"/>
        <w:gridCol w:w="663"/>
        <w:gridCol w:w="663"/>
        <w:gridCol w:w="663"/>
        <w:gridCol w:w="1658"/>
      </w:tblGrid>
      <w:tr>
        <w:trPr>
          <w:tblHeader w:val="on"/>
        </w:trPr>
        <w:tc>
          <w:tcPr/>
          <w:p>
            <w:pPr>
              <w:pStyle w:val="Compact"/>
            </w:pPr>
            <w:r>
              <w:t xml:space="preserve">Input Configuration</w:t>
            </w:r>
          </w:p>
        </w:tc>
        <w:tc>
          <w:tcPr/>
          <w:p>
            <w:pPr>
              <w:pStyle w:val="Compact"/>
            </w:pPr>
            <w:r>
              <w:t xml:space="preserve">Indicators Evaluated</w:t>
            </w:r>
          </w:p>
        </w:tc>
        <w:tc>
          <w:tcPr/>
          <w:p>
            <w:pPr>
              <w:pStyle w:val="Compact"/>
              <w:jc w:val="right"/>
            </w:pPr>
            <w:r>
              <w:t xml:space="preserve">Top-1 Accuracy</w:t>
            </w:r>
          </w:p>
        </w:tc>
        <w:tc>
          <w:tcPr/>
          <w:p>
            <w:pPr>
              <w:pStyle w:val="Compact"/>
              <w:jc w:val="right"/>
            </w:pPr>
            <w:r>
              <w:t xml:space="preserve">Top-2 Accuracy</w:t>
            </w:r>
          </w:p>
        </w:tc>
        <w:tc>
          <w:tcPr/>
          <w:p>
            <w:pPr>
              <w:pStyle w:val="Compact"/>
              <w:jc w:val="right"/>
            </w:pPr>
            <w:r>
              <w:t xml:space="preserve">Top-3 Accuracy</w:t>
            </w:r>
          </w:p>
        </w:tc>
        <w:tc>
          <w:tcPr/>
          <w:p>
            <w:pPr>
              <w:pStyle w:val="Compact"/>
              <w:jc w:val="right"/>
            </w:pPr>
            <w:r>
              <w:t xml:space="preserve">Macro-F₁</w:t>
            </w:r>
          </w:p>
        </w:tc>
        <w:tc>
          <w:tcPr/>
          <w:p>
            <w:pPr>
              <w:pStyle w:val="Compact"/>
              <w:jc w:val="right"/>
            </w:pPr>
            <w:r>
              <w:t xml:space="preserve">General Checkup (</w:t>
            </w:r>
            <w:r>
              <w:rPr>
                <w:rStyle w:val="VerbatimChar"/>
              </w:rPr>
              <w:t xml:space="preserve">Z00</w:t>
            </w:r>
            <w:r>
              <w:t xml:space="preserve">) Predicted Rate</w:t>
            </w:r>
          </w:p>
        </w:tc>
      </w:tr>
      <w:tr>
        <w:tc>
          <w:tcPr/>
          <w:p>
            <w:pPr>
              <w:pStyle w:val="Compact"/>
            </w:pPr>
            <w:r>
              <w:rPr>
                <w:b/>
                <w:bCs/>
              </w:rPr>
              <w:t xml:space="preserve">Full Clinical Encounter</w:t>
            </w:r>
          </w:p>
        </w:tc>
        <w:tc>
          <w:tcPr/>
          <w:p>
            <w:pPr>
              <w:pStyle w:val="Compact"/>
            </w:pPr>
            <w:r>
              <w:t xml:space="preserve">Anamnesis narrative + vitals + demographics</w:t>
            </w:r>
          </w:p>
        </w:tc>
        <w:tc>
          <w:tcPr/>
          <w:p>
            <w:pPr>
              <w:pStyle w:val="Compact"/>
              <w:jc w:val="right"/>
            </w:pPr>
            <w:r>
              <w:rPr>
                <w:b/>
                <w:bCs/>
              </w:rPr>
              <w:t xml:space="preserve">67.78%</w:t>
            </w:r>
          </w:p>
        </w:tc>
        <w:tc>
          <w:tcPr/>
          <w:p>
            <w:pPr>
              <w:pStyle w:val="Compact"/>
              <w:jc w:val="right"/>
            </w:pPr>
            <w:r>
              <w:rPr>
                <w:b/>
                <w:bCs/>
              </w:rPr>
              <w:t xml:space="preserve">84.25%</w:t>
            </w:r>
          </w:p>
        </w:tc>
        <w:tc>
          <w:tcPr/>
          <w:p>
            <w:pPr>
              <w:pStyle w:val="Compact"/>
              <w:jc w:val="right"/>
            </w:pPr>
            <w:r>
              <w:rPr>
                <w:b/>
                <w:bCs/>
              </w:rPr>
              <w:t xml:space="preserve">90.69%</w:t>
            </w:r>
          </w:p>
        </w:tc>
        <w:tc>
          <w:tcPr/>
          <w:p>
            <w:pPr>
              <w:pStyle w:val="Compact"/>
              <w:jc w:val="right"/>
            </w:pPr>
            <w:r>
              <w:rPr>
                <w:b/>
                <w:bCs/>
              </w:rPr>
              <w:t xml:space="preserve">0.5086</w:t>
            </w:r>
          </w:p>
        </w:tc>
        <w:tc>
          <w:tcPr/>
          <w:p>
            <w:pPr>
              <w:pStyle w:val="Compact"/>
              <w:jc w:val="right"/>
            </w:pPr>
            <w:r>
              <w:rPr>
                <w:b/>
                <w:bCs/>
              </w:rPr>
              <w:t xml:space="preserve">6.4% (Baseline)</w:t>
            </w:r>
          </w:p>
        </w:tc>
      </w:tr>
      <w:tr>
        <w:tc>
          <w:tcPr/>
          <w:p>
            <w:pPr>
              <w:pStyle w:val="Compact"/>
            </w:pPr>
            <w:r>
              <w:rPr>
                <w:b/>
                <w:bCs/>
              </w:rPr>
              <w:t xml:space="preserve">Anamnesis Only</w:t>
            </w:r>
          </w:p>
        </w:tc>
        <w:tc>
          <w:tcPr/>
          <w:p>
            <w:pPr>
              <w:pStyle w:val="Compact"/>
            </w:pPr>
            <w:r>
              <w:t xml:space="preserve">Narrative text only (vitals &amp; demographics ablated)</w:t>
            </w:r>
          </w:p>
        </w:tc>
        <w:tc>
          <w:tcPr/>
          <w:p>
            <w:pPr>
              <w:pStyle w:val="Compact"/>
              <w:jc w:val="right"/>
            </w:pPr>
            <w:r>
              <w:t xml:space="preserve">49.71%</w:t>
            </w:r>
          </w:p>
        </w:tc>
        <w:tc>
          <w:tcPr/>
          <w:p>
            <w:pPr>
              <w:pStyle w:val="Compact"/>
              <w:jc w:val="right"/>
            </w:pPr>
            <w:r>
              <w:t xml:space="preserve">65.57%</w:t>
            </w:r>
          </w:p>
        </w:tc>
        <w:tc>
          <w:tcPr/>
          <w:p>
            <w:pPr>
              <w:pStyle w:val="Compact"/>
              <w:jc w:val="right"/>
            </w:pPr>
            <w:r>
              <w:t xml:space="preserve">72.54%</w:t>
            </w:r>
          </w:p>
        </w:tc>
        <w:tc>
          <w:tcPr/>
          <w:p>
            <w:pPr>
              <w:pStyle w:val="Compact"/>
              <w:jc w:val="right"/>
            </w:pPr>
            <w:r>
              <w:t xml:space="preserve">0.2347</w:t>
            </w:r>
          </w:p>
        </w:tc>
        <w:tc>
          <w:tcPr/>
          <w:p>
            <w:pPr>
              <w:pStyle w:val="Compact"/>
              <w:jc w:val="right"/>
            </w:pPr>
            <w:r>
              <w:t xml:space="preserve">30.5% (+24.1 pp surge)</w:t>
            </w:r>
          </w:p>
        </w:tc>
      </w:tr>
      <w:tr>
        <w:tc>
          <w:tcPr/>
          <w:p>
            <w:pPr>
              <w:pStyle w:val="Compact"/>
            </w:pPr>
            <w:r>
              <w:rPr>
                <w:b/>
                <w:bCs/>
              </w:rPr>
              <w:t xml:space="preserve">Vitals &amp; Demographics Only</w:t>
            </w:r>
          </w:p>
        </w:tc>
        <w:tc>
          <w:tcPr/>
          <w:p>
            <w:pPr>
              <w:pStyle w:val="Compact"/>
            </w:pPr>
            <w:r>
              <w:t xml:space="preserve">Blood pressure, age, sex, BMI (zero narrative text)</w:t>
            </w:r>
          </w:p>
        </w:tc>
        <w:tc>
          <w:tcPr/>
          <w:p>
            <w:pPr>
              <w:pStyle w:val="Compact"/>
              <w:jc w:val="right"/>
            </w:pPr>
            <w:r>
              <w:t xml:space="preserve">26.45%</w:t>
            </w:r>
          </w:p>
        </w:tc>
        <w:tc>
          <w:tcPr/>
          <w:p>
            <w:pPr>
              <w:pStyle w:val="Compact"/>
              <w:jc w:val="right"/>
            </w:pPr>
            <w:r>
              <w:t xml:space="preserve">38.69%</w:t>
            </w:r>
          </w:p>
        </w:tc>
        <w:tc>
          <w:tcPr/>
          <w:p>
            <w:pPr>
              <w:pStyle w:val="Compact"/>
              <w:jc w:val="right"/>
            </w:pPr>
            <w:r>
              <w:t xml:space="preserve">44.68%</w:t>
            </w:r>
          </w:p>
        </w:tc>
        <w:tc>
          <w:tcPr/>
          <w:p>
            <w:pPr>
              <w:pStyle w:val="Compact"/>
              <w:jc w:val="right"/>
            </w:pPr>
            <w:r>
              <w:t xml:space="preserve">0.0479</w:t>
            </w:r>
          </w:p>
        </w:tc>
        <w:tc>
          <w:tcPr/>
          <w:p>
            <w:pPr>
              <w:pStyle w:val="Compact"/>
              <w:jc w:val="right"/>
            </w:pPr>
            <w:r>
              <w:t xml:space="preserve">19.7%</w:t>
            </w:r>
          </w:p>
        </w:tc>
      </w:tr>
    </w:tbl>
    <w:p>
      <w:pPr>
        <w:pStyle w:val="FirstParagraph"/>
      </w:pPr>
      <w:r>
        <w:rPr>
          <w:i/>
          <w:iCs/>
        </w:rPr>
        <w:t xml:space="preserve">Note: True empirical prevalence of Z00 in the holdout cohort is 6.8%. Baseline chance level is 3.45%.</w:t>
      </w:r>
    </w:p>
    <w:p>
      <w:pPr>
        <w:pStyle w:val="BodyText"/>
      </w:pPr>
      <w:r>
        <w:t xml:space="preserve">Two critical clinical insights emerge from this ablation:</w:t>
      </w:r>
    </w:p>
    <w:p>
      <w:pPr>
        <w:pStyle w:val="Compact"/>
        <w:numPr>
          <w:ilvl w:val="0"/>
          <w:numId w:val="1008"/>
        </w:numPr>
      </w:pPr>
      <w:r>
        <w:rPr>
          <w:b/>
          <w:bCs/>
        </w:rPr>
        <w:t xml:space="preserve">The missing vitals disaster (collapse to</w:t>
      </w:r>
      <w:r>
        <w:rPr>
          <w:b/>
          <w:bCs/>
        </w:rPr>
        <w:t xml:space="preserve"> </w:t>
      </w:r>
      <w:r>
        <w:rPr>
          <w:rStyle w:val="VerbatimChar"/>
          <w:b/>
          <w:bCs/>
        </w:rPr>
        <w:t xml:space="preserve">Z00</w:t>
      </w:r>
      <w:r>
        <w:rPr>
          <w:b/>
          <w:bCs/>
        </w:rPr>
        <w:t xml:space="preserve">)</w:t>
      </w:r>
      <w:r>
        <w:t xml:space="preserve">: Stripping physiological measurements and demographic metadata caused a catastrophic</w:t>
      </w:r>
      <w:r>
        <w:t xml:space="preserve"> </w:t>
      </w:r>
      <w:r>
        <w:rPr>
          <w:b/>
          <w:bCs/>
        </w:rPr>
        <w:t xml:space="preserve">-18.07 percentage point drop</w:t>
      </w:r>
      <w:r>
        <w:t xml:space="preserve"> </w:t>
      </w:r>
      <w:r>
        <w:t xml:space="preserve">in Top-1 accuracy (from 67.78% to 49.71%) and halved macro-averaged F₁ (0.5086 to 0.2347). Without patient vitals (particularly blood pressure numbers and age boundaries), the model’s self-attention representations lost key contextual grounding. Consequently, the model defaulted to general routine checkup (</w:t>
      </w:r>
      <w:r>
        <w:rPr>
          <w:rStyle w:val="VerbatimChar"/>
        </w:rPr>
        <w:t xml:space="preserve">Z00</w:t>
      </w:r>
      <w:r>
        <w:t xml:space="preserve">), predicting</w:t>
      </w:r>
      <w:r>
        <w:t xml:space="preserve"> </w:t>
      </w:r>
      <w:r>
        <w:rPr>
          <w:rStyle w:val="VerbatimChar"/>
        </w:rPr>
        <w:t xml:space="preserve">Z00</w:t>
      </w:r>
      <w:r>
        <w:t xml:space="preserve"> </w:t>
      </w:r>
      <w:r>
        <w:t xml:space="preserve">for</w:t>
      </w:r>
      <w:r>
        <w:t xml:space="preserve"> </w:t>
      </w:r>
      <w:r>
        <w:rPr>
          <w:b/>
          <w:bCs/>
        </w:rPr>
        <w:t xml:space="preserve">30.5% of all holdout consultations</w:t>
      </w:r>
      <w:r>
        <w:t xml:space="preserve"> </w:t>
      </w:r>
      <w:r>
        <w:t xml:space="preserve">(nearly a five-fold inflation above the true base rate of 6.8%).</w:t>
      </w:r>
    </w:p>
    <w:p>
      <w:pPr>
        <w:pStyle w:val="Compact"/>
        <w:numPr>
          <w:ilvl w:val="0"/>
          <w:numId w:val="1008"/>
        </w:numPr>
      </w:pPr>
      <w:r>
        <w:rPr>
          <w:b/>
          <w:bCs/>
        </w:rPr>
        <w:t xml:space="preserve">Text narratives remain indispensable</w:t>
      </w:r>
      <w:r>
        <w:t xml:space="preserve">: Tabular measurements and demographics alone achieved only 26.45% Top-1 accuracy, confirming that numerical vital signs cannot substitute for patient symptom narratives. High diagnostic precision requires cross-modal fusion: narrative complaints provide categorical disease hypotheses, while physiological measurements resolve boundary thresholds (such as distinguishing tension headaches from essential hypertension via blood pressure).</w:t>
      </w:r>
    </w:p>
    <w:bookmarkEnd w:id="32"/>
    <w:bookmarkStart w:id="33" w:name="_9bf9ab282eca8588e27b3fa91832161d3565ed8"/>
    <w:p>
      <w:pPr>
        <w:pStyle w:val="Heading3"/>
      </w:pPr>
      <w:r>
        <w:t xml:space="preserve">3.4 Diagnostic case-mix resolution and triage dilemmas</w:t>
      </w:r>
    </w:p>
    <w:p>
      <w:pPr>
        <w:pStyle w:val="FirstParagraph"/>
      </w:pPr>
      <w:r>
        <w:t xml:space="preserve">To assess the operational safety of System-1 decision support in primary care, Table 4 analyzes model behavior across four distinct diagnostic case-mix archetypes: high-volume primary wins, low-prevalence rare detections, overlapping base-rate dilemmas, and rare disease misses requiring human physician override.</w:t>
      </w:r>
    </w:p>
    <w:p>
      <w:pPr>
        <w:pStyle w:val="BodyText"/>
      </w:pPr>
      <w:r>
        <w:rPr>
          <w:b/>
          <w:bCs/>
        </w:rPr>
        <w:t xml:space="preserve">Table 4.</w:t>
      </w:r>
      <w:r>
        <w:t xml:space="preserve"> </w:t>
      </w:r>
      <w:r>
        <w:t xml:space="preserve">Diagnostic case-mix resolution and clinical triage dilemmas under ELECTRA-Small decision support.</w:t>
      </w:r>
    </w:p>
    <w:tbl>
      <w:tblPr>
        <w:tblStyle w:val="Table"/>
        <w:tblW w:type="pct" w:w="5000"/>
        <w:tblLayout w:type="fixed"/>
        <w:tblLook w:firstRow="1" w:lastRow="0" w:firstColumn="0" w:lastColumn="0" w:noHBand="0" w:noVBand="0" w:val="0020"/>
      </w:tblPr>
      <w:tblGrid>
        <w:gridCol w:w="812"/>
        <w:gridCol w:w="1044"/>
        <w:gridCol w:w="696"/>
        <w:gridCol w:w="2001"/>
        <w:gridCol w:w="725"/>
        <w:gridCol w:w="2640"/>
      </w:tblGrid>
      <w:tr>
        <w:trPr>
          <w:tblHeader w:val="on"/>
        </w:trPr>
        <w:tc>
          <w:tcPr/>
          <w:p>
            <w:pPr>
              <w:pStyle w:val="Compact"/>
            </w:pPr>
            <w:r>
              <w:t xml:space="preserve">Case Archetype</w:t>
            </w:r>
          </w:p>
        </w:tc>
        <w:tc>
          <w:tcPr/>
          <w:p>
            <w:pPr>
              <w:pStyle w:val="Compact"/>
            </w:pPr>
            <w:r>
              <w:t xml:space="preserve">Target ICD-10 Code &amp; Condition</w:t>
            </w:r>
          </w:p>
        </w:tc>
        <w:tc>
          <w:tcPr/>
          <w:p>
            <w:pPr>
              <w:pStyle w:val="Compact"/>
              <w:jc w:val="center"/>
            </w:pPr>
            <w:r>
              <w:t xml:space="preserve">Holdout Prevalence (</w:t>
            </w:r>
            <m:oMath>
              <m:r>
                <m:t>n</m:t>
              </m:r>
            </m:oMath>
            <w:r>
              <w:t xml:space="preserve">)</w:t>
            </w:r>
          </w:p>
        </w:tc>
        <w:tc>
          <w:tcPr/>
          <w:p>
            <w:pPr>
              <w:pStyle w:val="Compact"/>
            </w:pPr>
            <w:r>
              <w:t xml:space="preserve">Model Prediction (Top-1, Top-2, Top-3)</w:t>
            </w:r>
          </w:p>
        </w:tc>
        <w:tc>
          <w:tcPr/>
          <w:p>
            <w:pPr>
              <w:pStyle w:val="Compact"/>
              <w:jc w:val="center"/>
            </w:pPr>
            <w:r>
              <w:t xml:space="preserve">Outcome Status</w:t>
            </w:r>
          </w:p>
        </w:tc>
        <w:tc>
          <w:tcPr/>
          <w:p>
            <w:pPr>
              <w:pStyle w:val="Compact"/>
            </w:pPr>
            <w:r>
              <w:t xml:space="preserve">Observed Clinical &amp; Operational Pattern</w:t>
            </w:r>
          </w:p>
        </w:tc>
      </w:tr>
      <w:tr>
        <w:tc>
          <w:tcPr/>
          <w:p>
            <w:pPr>
              <w:pStyle w:val="Compact"/>
            </w:pPr>
            <w:r>
              <w:rPr>
                <w:b/>
                <w:bCs/>
              </w:rPr>
              <w:t xml:space="preserve">High-Volume Win</w:t>
            </w:r>
          </w:p>
        </w:tc>
        <w:tc>
          <w:tcPr/>
          <w:p>
            <w:pPr>
              <w:pStyle w:val="Compact"/>
            </w:pPr>
            <w:r>
              <w:rPr>
                <w:rStyle w:val="VerbatimChar"/>
              </w:rPr>
              <w:t xml:space="preserve">I10</w:t>
            </w:r>
            <w:r>
              <w:t xml:space="preserve"> </w:t>
            </w:r>
            <w:r>
              <w:t xml:space="preserve">Essential Hypertension</w:t>
            </w:r>
          </w:p>
        </w:tc>
        <w:tc>
          <w:tcPr/>
          <w:p>
            <w:pPr>
              <w:pStyle w:val="Compact"/>
              <w:jc w:val="center"/>
            </w:pPr>
            <w:r>
              <w:t xml:space="preserve">4.0% (</w:t>
            </w:r>
            <m:oMath>
              <m:r>
                <m:t>n</m:t>
              </m:r>
              <m:r>
                <m:rPr>
                  <m:sty m:val="p"/>
                </m:rPr>
                <m:t>=</m:t>
              </m:r>
              <m:r>
                <m:t>151</m:t>
              </m:r>
            </m:oMath>
            <w:r>
              <w:t xml:space="preserve">)</w:t>
            </w:r>
          </w:p>
        </w:tc>
        <w:tc>
          <w:tcPr/>
          <w:p>
            <w:pPr>
              <w:pStyle w:val="Compact"/>
            </w:pPr>
            <w:r>
              <w:rPr>
                <w:rStyle w:val="VerbatimChar"/>
                <w:b/>
                <w:bCs/>
              </w:rPr>
              <w:t xml:space="preserve">I10</w:t>
            </w:r>
            <w:r>
              <w:rPr>
                <w:b/>
                <w:bCs/>
              </w:rPr>
              <w:t xml:space="preserve"> </w:t>
            </w:r>
            <w:r>
              <w:rPr>
                <w:b/>
                <w:bCs/>
              </w:rPr>
              <w:t xml:space="preserve">(91.9%)</w:t>
            </w:r>
            <w:r>
              <w:t xml:space="preserve">,</w:t>
            </w:r>
            <w:r>
              <w:t xml:space="preserve"> </w:t>
            </w:r>
            <w:r>
              <w:rPr>
                <w:rStyle w:val="VerbatimChar"/>
              </w:rPr>
              <w:t xml:space="preserve">H81.3</w:t>
            </w:r>
            <w:r>
              <w:t xml:space="preserve"> </w:t>
            </w:r>
            <w:r>
              <w:t xml:space="preserve">(1.8%),</w:t>
            </w:r>
            <w:r>
              <w:t xml:space="preserve"> </w:t>
            </w:r>
            <w:r>
              <w:rPr>
                <w:rStyle w:val="VerbatimChar"/>
              </w:rPr>
              <w:t xml:space="preserve">E11</w:t>
            </w:r>
            <w:r>
              <w:t xml:space="preserve"> </w:t>
            </w:r>
            <w:r>
              <w:t xml:space="preserve">(0.6%)</w:t>
            </w:r>
          </w:p>
        </w:tc>
        <w:tc>
          <w:tcPr/>
          <w:p>
            <w:pPr>
              <w:pStyle w:val="Compact"/>
              <w:jc w:val="center"/>
            </w:pPr>
            <w:r>
              <w:rPr>
                <w:b/>
                <w:bCs/>
              </w:rPr>
              <w:t xml:space="preserve">Match (Top-1)</w:t>
            </w:r>
          </w:p>
        </w:tc>
        <w:tc>
          <w:tcPr/>
          <w:p>
            <w:pPr>
              <w:pStyle w:val="Compact"/>
            </w:pPr>
            <w:r>
              <w:t xml:space="preserve">Elevated systolic pressure (</w:t>
            </w:r>
            <m:oMath>
              <m:r>
                <m:rPr>
                  <m:sty m:val="p"/>
                </m:rPr>
                <m:t>&gt;</m:t>
              </m:r>
              <m:r>
                <m:t>140</m:t>
              </m:r>
            </m:oMath>
            <w:r>
              <w:t xml:space="preserve"> </w:t>
            </w:r>
            <w:r>
              <w:t xml:space="preserve">mmHg) correlates with high-confidence primary triage.</w:t>
            </w:r>
          </w:p>
        </w:tc>
      </w:tr>
      <w:tr>
        <w:tc>
          <w:tcPr/>
          <w:p>
            <w:pPr>
              <w:pStyle w:val="Compact"/>
            </w:pPr>
            <w:r>
              <w:rPr>
                <w:b/>
                <w:bCs/>
              </w:rPr>
              <w:t xml:space="preserve">High-Volume Win</w:t>
            </w:r>
          </w:p>
        </w:tc>
        <w:tc>
          <w:tcPr/>
          <w:p>
            <w:pPr>
              <w:pStyle w:val="Compact"/>
            </w:pPr>
            <w:r>
              <w:rPr>
                <w:rStyle w:val="VerbatimChar"/>
              </w:rPr>
              <w:t xml:space="preserve">Z21</w:t>
            </w:r>
            <w:r>
              <w:t xml:space="preserve"> </w:t>
            </w:r>
            <w:r>
              <w:t xml:space="preserve">Asymptomatic HIV Status</w:t>
            </w:r>
          </w:p>
        </w:tc>
        <w:tc>
          <w:tcPr/>
          <w:p>
            <w:pPr>
              <w:pStyle w:val="Compact"/>
              <w:jc w:val="center"/>
            </w:pPr>
            <w:r>
              <w:t xml:space="preserve">30.6% (</w:t>
            </w:r>
            <m:oMath>
              <m:r>
                <m:t>n</m:t>
              </m:r>
              <m:r>
                <m:rPr>
                  <m:sty m:val="p"/>
                </m:rPr>
                <m:t>=</m:t>
              </m:r>
              <m:r>
                <m:t>1</m:t>
              </m:r>
              <m:r>
                <m:rPr>
                  <m:sty m:val="p"/>
                </m:rPr>
                <m:t>,</m:t>
              </m:r>
              <m:r>
                <m:t>150</m:t>
              </m:r>
            </m:oMath>
            <w:r>
              <w:t xml:space="preserve">)</w:t>
            </w:r>
          </w:p>
        </w:tc>
        <w:tc>
          <w:tcPr/>
          <w:p>
            <w:pPr>
              <w:pStyle w:val="Compact"/>
            </w:pPr>
            <w:r>
              <w:rPr>
                <w:rStyle w:val="VerbatimChar"/>
                <w:b/>
                <w:bCs/>
              </w:rPr>
              <w:t xml:space="preserve">Z21</w:t>
            </w:r>
            <w:r>
              <w:rPr>
                <w:b/>
                <w:bCs/>
              </w:rPr>
              <w:t xml:space="preserve"> </w:t>
            </w:r>
            <w:r>
              <w:rPr>
                <w:b/>
                <w:bCs/>
              </w:rPr>
              <w:t xml:space="preserve">(94.5%)</w:t>
            </w:r>
            <w:r>
              <w:t xml:space="preserve">,</w:t>
            </w:r>
            <w:r>
              <w:t xml:space="preserve"> </w:t>
            </w:r>
            <w:r>
              <w:rPr>
                <w:rStyle w:val="VerbatimChar"/>
              </w:rPr>
              <w:t xml:space="preserve">I10</w:t>
            </w:r>
            <w:r>
              <w:t xml:space="preserve"> </w:t>
            </w:r>
            <w:r>
              <w:t xml:space="preserve">(1.0%),</w:t>
            </w:r>
            <w:r>
              <w:t xml:space="preserve"> </w:t>
            </w:r>
            <w:r>
              <w:rPr>
                <w:rStyle w:val="VerbatimChar"/>
              </w:rPr>
              <w:t xml:space="preserve">Z00</w:t>
            </w:r>
            <w:r>
              <w:t xml:space="preserve"> </w:t>
            </w:r>
            <w:r>
              <w:t xml:space="preserve">(0.3%)</w:t>
            </w:r>
          </w:p>
        </w:tc>
        <w:tc>
          <w:tcPr/>
          <w:p>
            <w:pPr>
              <w:pStyle w:val="Compact"/>
              <w:jc w:val="center"/>
            </w:pPr>
            <w:r>
              <w:rPr>
                <w:b/>
                <w:bCs/>
              </w:rPr>
              <w:t xml:space="preserve">Match (Top-1)</w:t>
            </w:r>
          </w:p>
        </w:tc>
        <w:tc>
          <w:tcPr/>
          <w:p>
            <w:pPr>
              <w:pStyle w:val="Compact"/>
            </w:pPr>
            <w:r>
              <w:t xml:space="preserve">Characteristic dispensary phrasing (</w:t>
            </w:r>
            <w:r>
              <w:rPr>
                <w:i/>
                <w:iCs/>
              </w:rPr>
              <w:t xml:space="preserve">“ambil obat ARV 1 bulan”</w:t>
            </w:r>
            <w:r>
              <w:t xml:space="preserve">) matches primary target.</w:t>
            </w:r>
          </w:p>
        </w:tc>
      </w:tr>
      <w:tr>
        <w:tc>
          <w:tcPr/>
          <w:p>
            <w:pPr>
              <w:pStyle w:val="Compact"/>
            </w:pPr>
            <w:r>
              <w:rPr>
                <w:b/>
                <w:bCs/>
              </w:rPr>
              <w:t xml:space="preserve">Low-Prevalence Win</w:t>
            </w:r>
          </w:p>
        </w:tc>
        <w:tc>
          <w:tcPr/>
          <w:p>
            <w:pPr>
              <w:pStyle w:val="Compact"/>
            </w:pPr>
            <w:r>
              <w:rPr>
                <w:rStyle w:val="VerbatimChar"/>
              </w:rPr>
              <w:t xml:space="preserve">H10</w:t>
            </w:r>
            <w:r>
              <w:t xml:space="preserve"> </w:t>
            </w:r>
            <w:r>
              <w:t xml:space="preserve">Acute Conjunctivitis</w:t>
            </w:r>
          </w:p>
        </w:tc>
        <w:tc>
          <w:tcPr/>
          <w:p>
            <w:pPr>
              <w:pStyle w:val="Compact"/>
              <w:jc w:val="center"/>
            </w:pPr>
            <w:r>
              <w:t xml:space="preserve">0.85% (</w:t>
            </w:r>
            <m:oMath>
              <m:r>
                <m:t>n</m:t>
              </m:r>
              <m:r>
                <m:rPr>
                  <m:sty m:val="p"/>
                </m:rPr>
                <m:t>=</m:t>
              </m:r>
              <m:r>
                <m:t>32</m:t>
              </m:r>
            </m:oMath>
            <w:r>
              <w:t xml:space="preserve">)</w:t>
            </w:r>
          </w:p>
        </w:tc>
        <w:tc>
          <w:tcPr/>
          <w:p>
            <w:pPr>
              <w:pStyle w:val="Compact"/>
            </w:pPr>
            <w:r>
              <w:rPr>
                <w:rStyle w:val="VerbatimChar"/>
                <w:b/>
                <w:bCs/>
              </w:rPr>
              <w:t xml:space="preserve">H10</w:t>
            </w:r>
            <w:r>
              <w:rPr>
                <w:b/>
                <w:bCs/>
              </w:rPr>
              <w:t xml:space="preserve"> </w:t>
            </w:r>
            <w:r>
              <w:rPr>
                <w:b/>
                <w:bCs/>
              </w:rPr>
              <w:t xml:space="preserve">(93.0%)</w:t>
            </w:r>
            <w:r>
              <w:t xml:space="preserve">,</w:t>
            </w:r>
            <w:r>
              <w:t xml:space="preserve"> </w:t>
            </w:r>
            <w:r>
              <w:rPr>
                <w:rStyle w:val="VerbatimChar"/>
              </w:rPr>
              <w:t xml:space="preserve">L30</w:t>
            </w:r>
            <w:r>
              <w:t xml:space="preserve"> </w:t>
            </w:r>
            <w:r>
              <w:t xml:space="preserve">(1.0%),</w:t>
            </w:r>
            <w:r>
              <w:t xml:space="preserve"> </w:t>
            </w:r>
            <w:r>
              <w:rPr>
                <w:rStyle w:val="VerbatimChar"/>
              </w:rPr>
              <w:t xml:space="preserve">Z00</w:t>
            </w:r>
            <w:r>
              <w:t xml:space="preserve"> </w:t>
            </w:r>
            <w:r>
              <w:t xml:space="preserve">(0.8%)</w:t>
            </w:r>
          </w:p>
        </w:tc>
        <w:tc>
          <w:tcPr/>
          <w:p>
            <w:pPr>
              <w:pStyle w:val="Compact"/>
              <w:jc w:val="center"/>
            </w:pPr>
            <w:r>
              <w:rPr>
                <w:b/>
                <w:bCs/>
              </w:rPr>
              <w:t xml:space="preserve">Match (Top-1)</w:t>
            </w:r>
          </w:p>
        </w:tc>
        <w:tc>
          <w:tcPr/>
          <w:p>
            <w:pPr>
              <w:pStyle w:val="Compact"/>
            </w:pPr>
            <w:r>
              <w:t xml:space="preserve">Distinct ophthalmological descriptors (</w:t>
            </w:r>
            <w:r>
              <w:rPr>
                <w:i/>
                <w:iCs/>
              </w:rPr>
              <w:t xml:space="preserve">“belekan lengket, perih”</w:t>
            </w:r>
            <w:r>
              <w:t xml:space="preserve">) enable rare detection.</w:t>
            </w:r>
          </w:p>
        </w:tc>
      </w:tr>
      <w:tr>
        <w:tc>
          <w:tcPr/>
          <w:p>
            <w:pPr>
              <w:pStyle w:val="Compact"/>
            </w:pPr>
            <w:r>
              <w:rPr>
                <w:b/>
                <w:bCs/>
              </w:rPr>
              <w:t xml:space="preserve">Base-Rate Dilemma</w:t>
            </w:r>
          </w:p>
        </w:tc>
        <w:tc>
          <w:tcPr/>
          <w:p>
            <w:pPr>
              <w:pStyle w:val="Compact"/>
            </w:pPr>
            <w:r>
              <w:rPr>
                <w:rStyle w:val="VerbatimChar"/>
              </w:rPr>
              <w:t xml:space="preserve">R50</w:t>
            </w:r>
            <w:r>
              <w:t xml:space="preserve"> </w:t>
            </w:r>
            <w:r>
              <w:t xml:space="preserve">Acute Undifferentiated Fever</w:t>
            </w:r>
          </w:p>
        </w:tc>
        <w:tc>
          <w:tcPr/>
          <w:p>
            <w:pPr>
              <w:pStyle w:val="Compact"/>
              <w:jc w:val="center"/>
            </w:pPr>
            <w:r>
              <w:t xml:space="preserve">3.0% (</w:t>
            </w:r>
            <m:oMath>
              <m:r>
                <m:t>n</m:t>
              </m:r>
              <m:r>
                <m:rPr>
                  <m:sty m:val="p"/>
                </m:rPr>
                <m:t>=</m:t>
              </m:r>
              <m:r>
                <m:t>114</m:t>
              </m:r>
            </m:oMath>
            <w:r>
              <w:t xml:space="preserve">)</w:t>
            </w:r>
          </w:p>
        </w:tc>
        <w:tc>
          <w:tcPr/>
          <w:p>
            <w:pPr>
              <w:pStyle w:val="Compact"/>
            </w:pPr>
            <w:r>
              <w:rPr>
                <w:rStyle w:val="VerbatimChar"/>
                <w:b/>
                <w:bCs/>
              </w:rPr>
              <w:t xml:space="preserve">J00</w:t>
            </w:r>
            <w:r>
              <w:rPr>
                <w:b/>
                <w:bCs/>
              </w:rPr>
              <w:t xml:space="preserve"> </w:t>
            </w:r>
            <w:r>
              <w:rPr>
                <w:b/>
                <w:bCs/>
              </w:rPr>
              <w:t xml:space="preserve">(45.9%)</w:t>
            </w:r>
            <w:r>
              <w:t xml:space="preserve">,</w:t>
            </w:r>
            <w:r>
              <w:t xml:space="preserve"> </w:t>
            </w:r>
            <w:r>
              <w:rPr>
                <w:rStyle w:val="VerbatimChar"/>
                <w:b/>
                <w:bCs/>
              </w:rPr>
              <w:t xml:space="preserve">R50</w:t>
            </w:r>
            <w:r>
              <w:rPr>
                <w:b/>
                <w:bCs/>
              </w:rPr>
              <w:t xml:space="preserve"> </w:t>
            </w:r>
            <w:r>
              <w:rPr>
                <w:b/>
                <w:bCs/>
              </w:rPr>
              <w:t xml:space="preserve">(25.0%)</w:t>
            </w:r>
            <w:r>
              <w:t xml:space="preserve">,</w:t>
            </w:r>
            <w:r>
              <w:t xml:space="preserve"> </w:t>
            </w:r>
            <w:r>
              <w:rPr>
                <w:rStyle w:val="VerbatimChar"/>
              </w:rPr>
              <w:t xml:space="preserve">J06</w:t>
            </w:r>
            <w:r>
              <w:t xml:space="preserve"> </w:t>
            </w:r>
            <w:r>
              <w:t xml:space="preserve">(17.2%)</w:t>
            </w:r>
          </w:p>
        </w:tc>
        <w:tc>
          <w:tcPr/>
          <w:p>
            <w:pPr>
              <w:pStyle w:val="Compact"/>
              <w:jc w:val="center"/>
            </w:pPr>
            <w:r>
              <w:rPr>
                <w:b/>
                <w:bCs/>
              </w:rPr>
              <w:t xml:space="preserve">Dilemma (Top-2)</w:t>
            </w:r>
          </w:p>
        </w:tc>
        <w:tc>
          <w:tcPr/>
          <w:p>
            <w:pPr>
              <w:pStyle w:val="Compact"/>
            </w:pPr>
            <w:r>
              <w:t xml:space="preserve">Common cold base rates overshadow fever; clinician selects</w:t>
            </w:r>
            <w:r>
              <w:t xml:space="preserve"> </w:t>
            </w:r>
            <w:r>
              <w:rPr>
                <w:rStyle w:val="VerbatimChar"/>
              </w:rPr>
              <w:t xml:space="preserve">R50</w:t>
            </w:r>
            <w:r>
              <w:t xml:space="preserve"> </w:t>
            </w:r>
            <w:r>
              <w:t xml:space="preserve">from Card 2.</w:t>
            </w:r>
          </w:p>
        </w:tc>
      </w:tr>
      <w:tr>
        <w:tc>
          <w:tcPr/>
          <w:p>
            <w:pPr>
              <w:pStyle w:val="Compact"/>
            </w:pPr>
            <w:r>
              <w:rPr>
                <w:b/>
                <w:bCs/>
              </w:rPr>
              <w:t xml:space="preserve">Rare Disease Miss</w:t>
            </w:r>
          </w:p>
        </w:tc>
        <w:tc>
          <w:tcPr/>
          <w:p>
            <w:pPr>
              <w:pStyle w:val="Compact"/>
            </w:pPr>
            <w:r>
              <w:rPr>
                <w:rStyle w:val="VerbatimChar"/>
              </w:rPr>
              <w:t xml:space="preserve">B26</w:t>
            </w:r>
            <w:r>
              <w:t xml:space="preserve"> </w:t>
            </w:r>
            <w:r>
              <w:t xml:space="preserve">Infectious Mumps / Parotitis</w:t>
            </w:r>
          </w:p>
        </w:tc>
        <w:tc>
          <w:tcPr/>
          <w:p>
            <w:pPr>
              <w:pStyle w:val="Compact"/>
              <w:jc w:val="center"/>
            </w:pPr>
            <w:r>
              <w:t xml:space="preserve">0.29% (</w:t>
            </w:r>
            <m:oMath>
              <m:r>
                <m:t>n</m:t>
              </m:r>
              <m:r>
                <m:rPr>
                  <m:sty m:val="p"/>
                </m:rPr>
                <m:t>=</m:t>
              </m:r>
              <m:r>
                <m:t>11</m:t>
              </m:r>
            </m:oMath>
            <w:r>
              <w:t xml:space="preserve">)</w:t>
            </w:r>
          </w:p>
        </w:tc>
        <w:tc>
          <w:tcPr/>
          <w:p>
            <w:pPr>
              <w:pStyle w:val="Compact"/>
            </w:pPr>
            <w:r>
              <w:rPr>
                <w:rStyle w:val="VerbatimChar"/>
                <w:b/>
                <w:bCs/>
              </w:rPr>
              <w:t xml:space="preserve">R50</w:t>
            </w:r>
            <w:r>
              <w:rPr>
                <w:b/>
                <w:bCs/>
              </w:rPr>
              <w:t xml:space="preserve"> </w:t>
            </w:r>
            <w:r>
              <w:rPr>
                <w:b/>
                <w:bCs/>
              </w:rPr>
              <w:t xml:space="preserve">(21.5%)</w:t>
            </w:r>
            <w:r>
              <w:t xml:space="preserve">,</w:t>
            </w:r>
            <w:r>
              <w:t xml:space="preserve"> </w:t>
            </w:r>
            <w:r>
              <w:rPr>
                <w:rStyle w:val="VerbatimChar"/>
              </w:rPr>
              <w:t xml:space="preserve">K30</w:t>
            </w:r>
            <w:r>
              <w:t xml:space="preserve"> </w:t>
            </w:r>
            <w:r>
              <w:t xml:space="preserve">(11.0%),</w:t>
            </w:r>
            <w:r>
              <w:t xml:space="preserve"> </w:t>
            </w:r>
            <w:r>
              <w:rPr>
                <w:rStyle w:val="VerbatimChar"/>
              </w:rPr>
              <w:t xml:space="preserve">K29.7</w:t>
            </w:r>
            <w:r>
              <w:t xml:space="preserve"> </w:t>
            </w:r>
            <w:r>
              <w:t xml:space="preserve">(9.7%)</w:t>
            </w:r>
          </w:p>
        </w:tc>
        <w:tc>
          <w:tcPr/>
          <w:p>
            <w:pPr>
              <w:pStyle w:val="Compact"/>
              <w:jc w:val="center"/>
            </w:pPr>
            <w:r>
              <w:rPr>
                <w:b/>
                <w:bCs/>
              </w:rPr>
              <w:t xml:space="preserve">Missed (Absent)</w:t>
            </w:r>
          </w:p>
        </w:tc>
        <w:tc>
          <w:tcPr/>
          <w:p>
            <w:pPr>
              <w:pStyle w:val="Compact"/>
            </w:pPr>
            <w:r>
              <w:t xml:space="preserve">Rare pediatric parotid swelling missed; clinician utilizes manual EHR code entry box.</w:t>
            </w:r>
          </w:p>
        </w:tc>
      </w:tr>
    </w:tbl>
    <w:p>
      <w:pPr>
        <w:pStyle w:val="FirstParagraph"/>
      </w:pPr>
      <w:r>
        <w:t xml:space="preserve">As shown in Table 4:</w:t>
      </w:r>
    </w:p>
    <w:p>
      <w:pPr>
        <w:pStyle w:val="Compact"/>
        <w:numPr>
          <w:ilvl w:val="0"/>
          <w:numId w:val="1009"/>
        </w:numPr>
      </w:pPr>
      <w:r>
        <w:t xml:space="preserve">In high-volume and organ-specific presentations, the model achieves decisive Top-1 accuracy (91.9% to 94.5%).</w:t>
      </w:r>
    </w:p>
    <w:p>
      <w:pPr>
        <w:pStyle w:val="Compact"/>
        <w:numPr>
          <w:ilvl w:val="0"/>
          <w:numId w:val="1009"/>
        </w:numPr>
      </w:pPr>
      <w:r>
        <w:t xml:space="preserve">In low-prevalence presentations with distinct clinical vocabularies (e.g. </w:t>
      </w:r>
      <w:r>
        <w:rPr>
          <w:rStyle w:val="VerbatimChar"/>
        </w:rPr>
        <w:t xml:space="preserve">H10</w:t>
      </w:r>
      <w:r>
        <w:t xml:space="preserve"> </w:t>
      </w:r>
      <w:r>
        <w:t xml:space="preserve">conjunctivitis, 0.58% prevalence), the model avoids base-rate suppression, achieving 93.0% Top-1 confidence.</w:t>
      </w:r>
    </w:p>
    <w:p>
      <w:pPr>
        <w:pStyle w:val="Compact"/>
        <w:numPr>
          <w:ilvl w:val="0"/>
          <w:numId w:val="1009"/>
        </w:numPr>
      </w:pPr>
      <w:r>
        <w:t xml:space="preserve">In overlapping presentations (e.g. </w:t>
      </w:r>
      <w:r>
        <w:rPr>
          <w:rStyle w:val="VerbatimChar"/>
        </w:rPr>
        <w:t xml:space="preserve">R50</w:t>
      </w:r>
      <w:r>
        <w:t xml:space="preserve"> </w:t>
      </w:r>
      <w:r>
        <w:t xml:space="preserve">acute fever without cough or cold), high ISPA base rates cause the model to rank</w:t>
      </w:r>
      <w:r>
        <w:t xml:space="preserve"> </w:t>
      </w:r>
      <w:r>
        <w:rPr>
          <w:rStyle w:val="VerbatimChar"/>
        </w:rPr>
        <w:t xml:space="preserve">J00</w:t>
      </w:r>
      <w:r>
        <w:t xml:space="preserve"> </w:t>
      </w:r>
      <w:r>
        <w:t xml:space="preserve">as Top-1 (45.9%), but the actual diagnosis is safely retained in the Top-2 window (</w:t>
      </w:r>
      <w:r>
        <w:rPr>
          <w:rStyle w:val="VerbatimChar"/>
        </w:rPr>
        <w:t xml:space="preserve">R50</w:t>
      </w:r>
      <w:r>
        <w:t xml:space="preserve">, 25.0%).</w:t>
      </w:r>
    </w:p>
    <w:p>
      <w:pPr>
        <w:pStyle w:val="Compact"/>
        <w:numPr>
          <w:ilvl w:val="0"/>
          <w:numId w:val="1009"/>
        </w:numPr>
      </w:pPr>
      <w:r>
        <w:t xml:space="preserve">In rare presentations with minimal training exposure (e.g. </w:t>
      </w:r>
      <w:r>
        <w:rPr>
          <w:rStyle w:val="VerbatimChar"/>
        </w:rPr>
        <w:t xml:space="preserve">B26</w:t>
      </w:r>
      <w:r>
        <w:t xml:space="preserve"> </w:t>
      </w:r>
      <w:r>
        <w:t xml:space="preserve">mumps), the model flags non-specific fever (</w:t>
      </w:r>
      <w:r>
        <w:rPr>
          <w:rStyle w:val="VerbatimChar"/>
        </w:rPr>
        <w:t xml:space="preserve">R50</w:t>
      </w:r>
      <w:r>
        <w:t xml:space="preserve">), demonstrating the absolute necessity of the attending physician final judgment panel for human-in-the-loop oversight.</w:t>
      </w:r>
    </w:p>
    <w:p>
      <w:r>
        <w:pict>
          <v:rect style="width:0;height:1.5pt" o:hralign="center" o:hrstd="t" o:hr="t"/>
        </w:pict>
      </w:r>
    </w:p>
    <w:bookmarkEnd w:id="33"/>
    <w:bookmarkEnd w:id="34"/>
    <w:bookmarkStart w:id="38" w:name="_discussion"/>
    <w:p>
      <w:pPr>
        <w:pStyle w:val="Heading2"/>
      </w:pPr>
      <w:r>
        <w:t xml:space="preserve">4. Discussion</w:t>
      </w:r>
    </w:p>
    <w:bookmarkStart w:id="35" w:name="_d61e32d79b632c2b8c16a641ce16ae6f1fd2cb5"/>
    <w:p>
      <w:pPr>
        <w:pStyle w:val="Heading3"/>
      </w:pPr>
      <w:r>
        <w:t xml:space="preserve">4.1 System-1 decision engines versus generative extraction</w:t>
      </w:r>
    </w:p>
    <w:p>
      <w:pPr>
        <w:pStyle w:val="FirstParagraph"/>
      </w:pPr>
      <w:r>
        <w:t xml:space="preserve">Our findings demonstrate that outpatient diagnostic triage is best formulated as a rapid System-1 decision task over an authorized candidate space rather than an open-ended generative extraction problem [4], [10]. Traditional conversational alignment frameworks such as Reinforcement Learning from Human Feedback (RLHF) [18], [19] prioritize perceived plausibility over decision calibration, whereas clinical decision support demands trustworthy and deployable metrics [20]. Furthermore, infusing clinical domain knowledge into subword tokenizers [21] provides substantial accuracy gains over general-domain Indonesian language models [22]. In outpatient primary care, clinicians do not require multi-paragraph essays; they require rapid, non-hallucinatory differential diagnostic verification over approved billing and treatment codes.</w:t>
      </w:r>
    </w:p>
    <w:p>
      <w:pPr>
        <w:pStyle w:val="BodyText"/>
      </w:pPr>
      <w:r>
        <w:t xml:space="preserve">By structuring diagnostic coding as direct candidate logit scoring over a closed space (</w:t>
      </w:r>
      <m:oMath>
        <m:r>
          <m:t>K</m:t>
        </m:r>
        <m:r>
          <m:rPr>
            <m:sty m:val="p"/>
          </m:rPr>
          <m:t>=</m:t>
        </m:r>
        <m:r>
          <m:t>29</m:t>
        </m:r>
      </m:oMath>
      <w:r>
        <w:t xml:space="preserve">):</w:t>
      </w:r>
    </w:p>
    <w:p>
      <w:pPr>
        <w:pStyle w:val="Compact"/>
        <w:numPr>
          <w:ilvl w:val="0"/>
          <w:numId w:val="1010"/>
        </w:numPr>
      </w:pPr>
      <w:r>
        <w:rPr>
          <w:b/>
          <w:bCs/>
        </w:rPr>
        <w:t xml:space="preserve">Latency scales at constant</w:t>
      </w:r>
      <w:r>
        <w:rPr>
          <w:b/>
          <w:bCs/>
        </w:rPr>
        <w:t xml:space="preserve"> </w:t>
      </w:r>
      <m:oMath>
        <m:r>
          <m:t>O</m:t>
        </m:r>
        <m:r>
          <m:rPr>
            <m:sty m:val="p"/>
          </m:rPr>
          <m:t>(</m:t>
        </m:r>
        <m:r>
          <m:t>1</m:t>
        </m:r>
        <m:r>
          <m:rPr>
            <m:sty m:val="p"/>
          </m:rPr>
          <m:t>)</m:t>
        </m:r>
      </m:oMath>
      <w:r>
        <w:t xml:space="preserve">: Forward evaluation requires 3.2 ms on edge GPU or 14.1 ms on CPU, avoiding multi-second autoregressive decoding bottlenecks.</w:t>
      </w:r>
    </w:p>
    <w:p>
      <w:pPr>
        <w:pStyle w:val="Compact"/>
        <w:numPr>
          <w:ilvl w:val="0"/>
          <w:numId w:val="1010"/>
        </w:numPr>
      </w:pPr>
      <w:r>
        <w:rPr>
          <w:b/>
          <w:bCs/>
        </w:rPr>
        <w:t xml:space="preserve">Hallucination is mathematically eliminated</w:t>
      </w:r>
      <w:r>
        <w:t xml:space="preserve">: The output layer restricts predictions strictly to authorized ICD-10 categories, preventing the generation of fabricated or unapproved diagnostic codes.</w:t>
      </w:r>
    </w:p>
    <w:p>
      <w:pPr>
        <w:pStyle w:val="Compact"/>
        <w:numPr>
          <w:ilvl w:val="0"/>
          <w:numId w:val="1010"/>
        </w:numPr>
      </w:pPr>
      <w:r>
        <w:rPr>
          <w:b/>
          <w:bCs/>
        </w:rPr>
        <w:t xml:space="preserve">Calibrated decision support</w:t>
      </w:r>
      <w:r>
        <w:t xml:space="preserve">: The model outputs calibrated probability distributions (ECE 0.0418) rather than uncalibrated conversational assertions, enabling software systems to distinguish autonomous high-confidence predictions from cases requiring clinical escalation.</w:t>
      </w:r>
    </w:p>
    <w:bookmarkEnd w:id="35"/>
    <w:bookmarkStart w:id="36" w:name="_9be0e19536ff2754b7935296a3013658397bd8c"/>
    <w:p>
      <w:pPr>
        <w:pStyle w:val="Heading3"/>
      </w:pPr>
      <w:r>
        <w:t xml:space="preserve">4.2 Architectural comparison: Cross-encoders versus bidirectional marker-pointer models</w:t>
      </w:r>
    </w:p>
    <w:p>
      <w:pPr>
        <w:pStyle w:val="FirstParagraph"/>
      </w:pPr>
      <w:r>
        <w:t xml:space="preserve">Comparing Gemma 3 270M, ModernBERT 149M, and ELECTRA-Small 13.5M reveals key structural insights for clinical decision models:</w:t>
      </w:r>
      <w:r>
        <w:t xml:space="preserve"> </w:t>
      </w:r>
      <w:r>
        <w:t xml:space="preserve">-</w:t>
      </w:r>
      <w:r>
        <w:t xml:space="preserve"> </w:t>
      </w:r>
      <w:r>
        <w:rPr>
          <w:b/>
          <w:bCs/>
        </w:rPr>
        <w:t xml:space="preserve">The latency penalty of cross-encoders</w:t>
      </w:r>
      <w:r>
        <w:t xml:space="preserve">: Although Gemma 3 270M achieved competitive diagnostic accuracy when adapted (reaching 60.88% Top-1 and 84.17% Top-3 with tight calibration, ECE 0.0259), evaluating 29 candidate options as isolated pairwise sequences incurred severe operational penalties. Evaluating 29 parallel candidate sequences through deep cross-attention required 413.1 ms per visit. For higher cardinality diagnostic sets (e.g. </w:t>
      </w:r>
      <m:oMath>
        <m:r>
          <m:t>K</m:t>
        </m:r>
        <m:r>
          <m:rPr>
            <m:sty m:val="p"/>
          </m:rPr>
          <m:t>=</m:t>
        </m:r>
        <m:r>
          <m:t>100</m:t>
        </m:r>
      </m:oMath>
      <w:r>
        <w:t xml:space="preserve">), cross-encoder latency scales linearly</w:t>
      </w:r>
      <w:r>
        <w:t xml:space="preserve"> </w:t>
      </w:r>
      <m:oMath>
        <m:r>
          <m:t>O</m:t>
        </m:r>
        <m:r>
          <m:rPr>
            <m:sty m:val="p"/>
          </m:rPr>
          <m:t>(</m:t>
        </m:r>
        <m:r>
          <m:t>K</m:t>
        </m:r>
        <m:r>
          <m:rPr>
            <m:sty m:val="p"/>
          </m:rPr>
          <m:t>)</m:t>
        </m:r>
      </m:oMath>
      <w:r>
        <w:t xml:space="preserve">, creating an unsustainable computational bottleneck in busy community outpatient clinics.</w:t>
      </w:r>
      <w:r>
        <w:t xml:space="preserve"> </w:t>
      </w:r>
      <w:r>
        <w:t xml:space="preserve">-</w:t>
      </w:r>
      <w:r>
        <w:t xml:space="preserve"> </w:t>
      </w:r>
      <w:r>
        <w:rPr>
          <w:b/>
          <w:bCs/>
        </w:rPr>
        <w:t xml:space="preserve">The efficiency of bidirectional marker-pointer models</w:t>
      </w:r>
      <w:r>
        <w:t xml:space="preserve">: ModernBERT (63.07% Top-1) and ELECTRA-Small (67.78% Top-1) surpassed Gemma 3 while running vastly faster (35.7 ms and 3.2 ms, respectively). By concatenating all 29 diagnostic markers into a single shared bidirectional prompt, marker-pointer models evaluate all candidate markers jointly within a unified self-attention matrix (</w:t>
      </w:r>
      <m:oMath>
        <m:r>
          <m:t>O</m:t>
        </m:r>
        <m:r>
          <m:rPr>
            <m:sty m:val="p"/>
          </m:rPr>
          <m:t>(</m:t>
        </m:r>
        <m:r>
          <m:t>1</m:t>
        </m:r>
        <m:r>
          <m:rPr>
            <m:sty m:val="p"/>
          </m:rPr>
          <m:t>)</m:t>
        </m:r>
      </m:oMath>
      <w:r>
        <w:t xml:space="preserve">). This allows candidate options to compete directly for probability mass while attending simultaneously to patient vitals and complaints in a single forward pass.</w:t>
      </w:r>
      <w:r>
        <w:t xml:space="preserve"> </w:t>
      </w:r>
      <w:r>
        <w:t xml:space="preserve">-</w:t>
      </w:r>
      <w:r>
        <w:t xml:space="preserve"> </w:t>
      </w:r>
      <w:r>
        <w:rPr>
          <w:b/>
          <w:bCs/>
        </w:rPr>
        <w:t xml:space="preserve">Pretraining objective match</w:t>
      </w:r>
      <w:r>
        <w:t xml:space="preserve">: ELECTRA was pretrained using replaced token detection (discriminating real from corrupted tokens), training all token representations across every forward pass rather than masking only 15% of tokens. This builds dense sensitivity to token anomalies that matches the recognition of clinical somatic descriptors in short consultation notes.</w:t>
      </w:r>
      <w:r>
        <w:t xml:space="preserve"> </w:t>
      </w:r>
      <w:r>
        <w:t xml:space="preserve">-</w:t>
      </w:r>
      <w:r>
        <w:t xml:space="preserve"> </w:t>
      </w:r>
      <w:r>
        <w:rPr>
          <w:b/>
          <w:bCs/>
        </w:rPr>
        <w:t xml:space="preserve">Context density in short clinical notes</w:t>
      </w:r>
      <w:r>
        <w:t xml:space="preserve">: Primary care consultation notes in community clinics average 40 to 90 tokens. ModernBERT (designed for 8,192-token contexts) and Gemma 3 (designed for conversational generation) allocate substantial parameter capacity to long-range self-attention. For compact clinical encounters, ELECTRA’s 12-layer, 256-hidden-dimension architecture provides ideal capacity without over-parameterization, allowing 16 epochs of rapid convergence without gradient dissipation.</w:t>
      </w:r>
      <w:r>
        <w:t xml:space="preserve"> </w:t>
      </w:r>
      <w:r>
        <w:t xml:space="preserve">### 4.3 Multi-class discrimination and class-balance dynamics</w:t>
      </w:r>
    </w:p>
    <w:p>
      <w:pPr>
        <w:pStyle w:val="BodyText"/>
      </w:pPr>
      <w:r>
        <w:t xml:space="preserve">While ELECTRA-Small achieved the highest overall Top-1 (67.78%) and Top-3 (90.69%) accuracy, its macro-averaged F₁ score (0.5086) was narrowly trailed by the Linear SVM baseline (0.5311, a difference of 0.0225), while substantially surpassing ModernBERT (0.3836 by +12.50 percentage points). This nuanced trade-off reflects contrasting decision boundary geometries:</w:t>
      </w:r>
    </w:p>
    <w:p>
      <w:pPr>
        <w:pStyle w:val="Compact"/>
        <w:numPr>
          <w:ilvl w:val="0"/>
          <w:numId w:val="1011"/>
        </w:numPr>
      </w:pPr>
      <w:r>
        <w:t xml:space="preserve">Linear SVM classifiers operate via maximum-margin hyperplanes over high-dimensional sparse n-gram spaces (5,000 features). When a rare diagnostic category possesses unique, isolated lexical tokens (such as specific medication brand names or distinct procedural terms), the linear classifier assigns large weights to those terms, maintaining sensitivity on low-volume classes even with minimal training support.</w:t>
      </w:r>
    </w:p>
    <w:p>
      <w:pPr>
        <w:pStyle w:val="Compact"/>
        <w:numPr>
          <w:ilvl w:val="0"/>
          <w:numId w:val="1011"/>
        </w:numPr>
      </w:pPr>
      <w:r>
        <w:t xml:space="preserve">Deep neural transformers operate via continuous semantic embeddings. While label smoothing prevents complete logit suppression on tail classes, cross-entropy gradient updates on highly imbalanced primary care corpora naturally prioritize representations that maximize overall patient coverage. Consequently, ELECTRA-Small achieves near-parity on macro-F₁ (0.5086 vs. 0.5311) while outperforming the linear baseline by +2.40 percentage points in Top-1 and +3.30 percentage points in Top-3 across the full consultation volume.</w:t>
      </w:r>
    </w:p>
    <w:p>
      <w:pPr>
        <w:pStyle w:val="FirstParagraph"/>
      </w:pPr>
      <w:r>
        <w:t xml:space="preserve">In primary care decision support, overall patient coverage within the differential guidance window is the paramount operational objective. Standalone ELECTRA-Small delivers 90.69% Top-3 diagnostic accuracy, ensuring that over 9 out of 10 primary care consultations receive correct diagnostic guidance within the attending physician’s clinical workflow.</w:t>
      </w:r>
      <w:r>
        <w:t xml:space="preserve"> </w:t>
      </w:r>
      <w:r>
        <w:t xml:space="preserve">### 4.4 Feature synergy and the role of physiological indicators</w:t>
      </w:r>
    </w:p>
    <w:p>
      <w:pPr>
        <w:pStyle w:val="BodyText"/>
      </w:pPr>
      <w:r>
        <w:t xml:space="preserve">Our ablation findings resolve an important clinical controversy: can text-only language models replace holistic electronic health records?</w:t>
      </w:r>
      <w:r>
        <w:t xml:space="preserve"> </w:t>
      </w:r>
      <w:r>
        <w:t xml:space="preserve">The empirical evidence is decisive:</w:t>
      </w:r>
      <w:r>
        <w:t xml:space="preserve"> </w:t>
      </w:r>
      <w:r>
        <w:rPr>
          <w:b/>
          <w:bCs/>
        </w:rPr>
        <w:t xml:space="preserve">they cannot</w:t>
      </w:r>
      <w:r>
        <w:t xml:space="preserve">. Stripping vital signs caused Top-1 accuracy to collapse to 49.71% and increased general checkup misclassifications (</w:t>
      </w:r>
      <w:r>
        <w:rPr>
          <w:rStyle w:val="VerbatimChar"/>
        </w:rPr>
        <w:t xml:space="preserve">Z00</w:t>
      </w:r>
      <w:r>
        <w:t xml:space="preserve">) nearly five-fold (from 6.4% to 30.5%).</w:t>
      </w:r>
      <w:r>
        <w:t xml:space="preserve"> </w:t>
      </w:r>
      <w:r>
        <w:t xml:space="preserve">In primary care community clinics, patients routinely present with non-specific constitutional symptoms (</w:t>
      </w:r>
      <w:r>
        <w:rPr>
          <w:i/>
          <w:iCs/>
        </w:rPr>
        <w:t xml:space="preserve">pusing</w:t>
      </w:r>
      <w:r>
        <w:t xml:space="preserve">,</w:t>
      </w:r>
      <w:r>
        <w:t xml:space="preserve"> </w:t>
      </w:r>
      <w:r>
        <w:rPr>
          <w:i/>
          <w:iCs/>
        </w:rPr>
        <w:t xml:space="preserve">lemas</w:t>
      </w:r>
      <w:r>
        <w:t xml:space="preserve">,</w:t>
      </w:r>
      <w:r>
        <w:t xml:space="preserve"> </w:t>
      </w:r>
      <w:r>
        <w:rPr>
          <w:i/>
          <w:iCs/>
        </w:rPr>
        <w:t xml:space="preserve">nggliyeng</w:t>
      </w:r>
      <w:r>
        <w:t xml:space="preserve">). A complaint of dizziness (</w:t>
      </w:r>
      <w:r>
        <w:rPr>
          <w:i/>
          <w:iCs/>
        </w:rPr>
        <w:t xml:space="preserve">nggliyeng</w:t>
      </w:r>
      <w:r>
        <w:t xml:space="preserve">) in a patient with a blood pressure of</w:t>
      </w:r>
      <w:r>
        <w:t xml:space="preserve"> </w:t>
      </w:r>
      <m:oMath>
        <m:r>
          <m:t>170</m:t>
        </m:r>
        <m:r>
          <m:rPr>
            <m:sty m:val="p"/>
          </m:rPr>
          <m:t>/</m:t>
        </m:r>
        <m:r>
          <m:t>100</m:t>
        </m:r>
      </m:oMath>
      <w:r>
        <w:t xml:space="preserve"> </w:t>
      </w:r>
      <w:r>
        <w:t xml:space="preserve">mmHg indicates essential hypertension (</w:t>
      </w:r>
      <w:r>
        <w:rPr>
          <w:rStyle w:val="VerbatimChar"/>
        </w:rPr>
        <w:t xml:space="preserve">I10</w:t>
      </w:r>
      <w:r>
        <w:t xml:space="preserve">); the same complaint in a patient with rotational vestibular symptoms and normal blood pressure indicates peripheral vertigo (</w:t>
      </w:r>
      <w:r>
        <w:rPr>
          <w:rStyle w:val="VerbatimChar"/>
        </w:rPr>
        <w:t xml:space="preserve">H81.3</w:t>
      </w:r>
      <w:r>
        <w:t xml:space="preserve">). Language models that ignore numerical physiological vitals lack the multi-modal grounding required for primary care safety.</w:t>
      </w:r>
    </w:p>
    <w:bookmarkEnd w:id="36"/>
    <w:bookmarkStart w:id="37" w:name="_limitations"/>
    <w:p>
      <w:pPr>
        <w:pStyle w:val="Heading3"/>
      </w:pPr>
      <w:r>
        <w:t xml:space="preserve">4.5 Limitations</w:t>
      </w:r>
    </w:p>
    <w:p>
      <w:pPr>
        <w:pStyle w:val="FirstParagraph"/>
      </w:pPr>
      <w:r>
        <w:t xml:space="preserve">Several methodological boundaries apply to this investigation. First, data originated from a single municipal health centre in Semarang; generalisation across rural clinics with differing Javanese, Sundanese, or regional dialect mixtures requires multi-centre validation. Second, the study evaluated primary diagnostic codes; multi-morbidity was observed in 20.8% of visits and warrants future multi-label decision extension. Third, demographic shift was evaluated on a non-resident commuter and referral cohort from a single administrative region; broader inter-provincial transfers remain open for study.</w:t>
      </w:r>
    </w:p>
    <w:p>
      <w:r>
        <w:pict>
          <v:rect style="width:0;height:1.5pt" o:hralign="center" o:hrstd="t" o:hr="t"/>
        </w:pict>
      </w:r>
    </w:p>
    <w:bookmarkEnd w:id="37"/>
    <w:bookmarkEnd w:id="38"/>
    <w:bookmarkStart w:id="39" w:name="_conclusion"/>
    <w:p>
      <w:pPr>
        <w:pStyle w:val="Heading2"/>
      </w:pPr>
      <w:r>
        <w:t xml:space="preserve">5. Conclusion</w:t>
      </w:r>
    </w:p>
    <w:p>
      <w:pPr>
        <w:pStyle w:val="FirstParagraph"/>
      </w:pPr>
      <w:r>
        <w:t xml:space="preserve">This study demonstrates that ultra-compact language models under 15M parameters surpass classical linear classifiers and larger neural transformers when structured as non-autoregressive System-1 decision engines. By expanding subword vocabularies with in-domain dialect tokens and training on resident primary care encounters, a native 13.5M parameter ELECTRA-Small marker-pointer model achieves</w:t>
      </w:r>
      <w:r>
        <w:t xml:space="preserve"> </w:t>
      </w:r>
      <w:r>
        <w:rPr>
          <w:b/>
          <w:bCs/>
        </w:rPr>
        <w:t xml:space="preserve">67.78% Top-1</w:t>
      </w:r>
      <w:r>
        <w:t xml:space="preserve">,</w:t>
      </w:r>
      <w:r>
        <w:t xml:space="preserve"> </w:t>
      </w:r>
      <w:r>
        <w:rPr>
          <w:b/>
          <w:bCs/>
        </w:rPr>
        <w:t xml:space="preserve">84.25% Top-2</w:t>
      </w:r>
      <w:r>
        <w:t xml:space="preserve">, and</w:t>
      </w:r>
      <w:r>
        <w:t xml:space="preserve"> </w:t>
      </w:r>
      <w:r>
        <w:rPr>
          <w:b/>
          <w:bCs/>
        </w:rPr>
        <w:t xml:space="preserve">90.69% Top-3</w:t>
      </w:r>
      <w:r>
        <w:t xml:space="preserve"> </w:t>
      </w:r>
      <w:r>
        <w:t xml:space="preserve">accuracy under severe out-of-city population shift, executing in</w:t>
      </w:r>
      <w:r>
        <w:t xml:space="preserve"> </w:t>
      </w:r>
      <w:r>
        <w:rPr>
          <w:b/>
          <w:bCs/>
        </w:rPr>
        <w:t xml:space="preserve">3.2 ms</w:t>
      </w:r>
      <w:r>
        <w:t xml:space="preserve"> </w:t>
      </w:r>
      <w:r>
        <w:t xml:space="preserve">on edge GPU and</w:t>
      </w:r>
      <w:r>
        <w:t xml:space="preserve"> </w:t>
      </w:r>
      <w:r>
        <w:rPr>
          <w:b/>
          <w:bCs/>
        </w:rPr>
        <w:t xml:space="preserve">14.1 ms</w:t>
      </w:r>
      <w:r>
        <w:t xml:space="preserve"> </w:t>
      </w:r>
      <w:r>
        <w:t xml:space="preserve">via INT8 quantization on CPU with tight calibration (ECE 0.0418). Standalone ELECTRA-Small breaks the 90% primary care differential diagnostic guidance threshold without requiring complex ensembling, providing an ultra-fast, privacy-preserving, sub-15 millisecond decision support pipeline deployable on standard clinic desktop hardware.</w:t>
      </w:r>
    </w:p>
    <w:p>
      <w:r>
        <w:pict>
          <v:rect style="width:0;height:1.5pt" o:hralign="center" o:hrstd="t" o:hr="t"/>
        </w:pict>
      </w:r>
    </w:p>
    <w:bookmarkEnd w:id="39"/>
    <w:bookmarkStart w:id="41" w:name="_4791e600940abe2afe9a93f6270c6ec1f355cc5"/>
    <w:p>
      <w:pPr>
        <w:pStyle w:val="Heading2"/>
      </w:pPr>
      <w:r>
        <w:t xml:space="preserve">Code and Data Availability</w:t>
      </w:r>
    </w:p>
    <w:p>
      <w:pPr>
        <w:pStyle w:val="FirstParagraph"/>
      </w:pPr>
      <w:r>
        <w:t xml:space="preserve">All source code, model training and evaluation scripts, ONNX export pipelines, interactive client-side web application files, and synthetic dummy validation data are publicly accessible in the project repository at</w:t>
      </w:r>
      <w:r>
        <w:t xml:space="preserve"> </w:t>
      </w:r>
      <w:hyperlink r:id="rId40">
        <w:r>
          <w:rPr>
            <w:rStyle w:val="Hyperlink"/>
          </w:rPr>
          <w:t xml:space="preserve">https://github.com/solie/pusk_cdss.git</w:t>
        </w:r>
      </w:hyperlink>
      <w:r>
        <w:t xml:space="preserve">. Due to patient confidentiality safeguards and statutory regulations governing medical records under Indonesian health data protection laws, raw and de-identified clinical visit narratives cannot be shared publicly.</w:t>
      </w:r>
    </w:p>
    <w:bookmarkEnd w:id="41"/>
    <w:bookmarkStart w:id="42" w:name="_references"/>
    <w:p>
      <w:pPr>
        <w:pStyle w:val="Heading2"/>
      </w:pPr>
      <w:r>
        <w:t xml:space="preserve">References</w:t>
      </w:r>
    </w:p>
    <w:p>
      <w:pPr>
        <w:pStyle w:val="FirstParagraph"/>
      </w:pPr>
      <w:r>
        <w:t xml:space="preserve">[1] World Health Organization. (2019).</w:t>
      </w:r>
      <w:r>
        <w:t xml:space="preserve"> </w:t>
      </w:r>
      <w:r>
        <w:rPr>
          <w:i/>
          <w:iCs/>
        </w:rPr>
        <w:t xml:space="preserve">International statistical classification of diseases and related health problems</w:t>
      </w:r>
      <w:r>
        <w:t xml:space="preserve"> </w:t>
      </w:r>
      <w:r>
        <w:t xml:space="preserve">(10th revision, 5th ed.). WHO.</w:t>
      </w:r>
    </w:p>
    <w:p>
      <w:pPr>
        <w:pStyle w:val="BodyText"/>
      </w:pPr>
      <w:r>
        <w:t xml:space="preserve">[2] Agustina, R., Dartanto, T., Sitompul, R., Susiloretni, K. A., Suparmi, Achadi, E. L., Taher, A., Wirawan, F., Sungkar, S., Sudarmono, P., Shankar, A. H., &amp; Thabrany, H. (2019). Universal health coverage in Indonesia: Concept, progress, and challenges.</w:t>
      </w:r>
      <w:r>
        <w:t xml:space="preserve"> </w:t>
      </w:r>
      <w:r>
        <w:rPr>
          <w:i/>
          <w:iCs/>
        </w:rPr>
        <w:t xml:space="preserve">The Lancet</w:t>
      </w:r>
      <w:r>
        <w:t xml:space="preserve">,</w:t>
      </w:r>
      <w:r>
        <w:t xml:space="preserve"> </w:t>
      </w:r>
      <w:r>
        <w:rPr>
          <w:i/>
          <w:iCs/>
        </w:rPr>
        <w:t xml:space="preserve">393</w:t>
      </w:r>
      <w:r>
        <w:t xml:space="preserve">(10166), 75-102. https://doi.org/10.1016/S0140-6736(18)31647-7</w:t>
      </w:r>
    </w:p>
    <w:p>
      <w:pPr>
        <w:pStyle w:val="BodyText"/>
      </w:pPr>
      <w:r>
        <w:t xml:space="preserve">[3] Handayani, P. W., Dartanto, T., Moeis, F. R., Pinem, A. A., Azzahro, F., Hidayanto, A. N., Denny, &amp; Ayuningtyas, D. (2021). The regional and referral compliance of online healthcare systems by Indonesia National Health Insurance agency and health-seeking behavior in Indonesia.</w:t>
      </w:r>
      <w:r>
        <w:t xml:space="preserve"> </w:t>
      </w:r>
      <w:r>
        <w:rPr>
          <w:i/>
          <w:iCs/>
        </w:rPr>
        <w:t xml:space="preserve">Heliyon</w:t>
      </w:r>
      <w:r>
        <w:t xml:space="preserve">,</w:t>
      </w:r>
      <w:r>
        <w:t xml:space="preserve"> </w:t>
      </w:r>
      <w:r>
        <w:rPr>
          <w:i/>
          <w:iCs/>
        </w:rPr>
        <w:t xml:space="preserve">7</w:t>
      </w:r>
      <w:r>
        <w:t xml:space="preserve">(9), Article e08068. https://doi.org/10.1016/j.heliyon.2021.e08068</w:t>
      </w:r>
    </w:p>
    <w:p>
      <w:pPr>
        <w:pStyle w:val="BodyText"/>
      </w:pPr>
      <w:r>
        <w:t xml:space="preserve">[4] Brown, K. E., Yan, C., Li, Z., Zhang, X., Collins, B. X., Chen, Y., Clayton, E. W., Kantarcioglu, M., Vorobeychik, Y., &amp; Malin, B. A. (2025). Large language models are less effective at clinical prediction tasks than locally trained machine learning models.</w:t>
      </w:r>
      <w:r>
        <w:t xml:space="preserve"> </w:t>
      </w:r>
      <w:r>
        <w:rPr>
          <w:i/>
          <w:iCs/>
        </w:rPr>
        <w:t xml:space="preserve">Journal of the American Medical Informatics Association</w:t>
      </w:r>
      <w:r>
        <w:t xml:space="preserve">,</w:t>
      </w:r>
      <w:r>
        <w:t xml:space="preserve"> </w:t>
      </w:r>
      <w:r>
        <w:rPr>
          <w:i/>
          <w:iCs/>
        </w:rPr>
        <w:t xml:space="preserve">32</w:t>
      </w:r>
      <w:r>
        <w:t xml:space="preserve">(5), 811-822. https://doi.org/10.1093/jamia/ocaf038</w:t>
      </w:r>
    </w:p>
    <w:p>
      <w:pPr>
        <w:pStyle w:val="BodyText"/>
      </w:pPr>
      <w:r>
        <w:t xml:space="preserve">[5] Lin, Y.-C., Chen, S.-A., Liu, J.-J., &amp; Lin, C.-J. (2023). Linear classifier: An often-forgotten baseline for text classification. In</w:t>
      </w:r>
      <w:r>
        <w:t xml:space="preserve"> </w:t>
      </w:r>
      <w:r>
        <w:rPr>
          <w:i/>
          <w:iCs/>
        </w:rPr>
        <w:t xml:space="preserve">Proceedings of the 61st Annual Meeting of the Association for Computational Linguistics (Volume 2: Short Papers)</w:t>
      </w:r>
      <w:r>
        <w:t xml:space="preserve"> </w:t>
      </w:r>
      <w:r>
        <w:t xml:space="preserve">(pp. 1876-1888). Association for Computational Linguistics. https://doi.org/10.18653/v1/2023.acl-short.160</w:t>
      </w:r>
    </w:p>
    <w:p>
      <w:pPr>
        <w:pStyle w:val="BodyText"/>
      </w:pPr>
      <w:r>
        <w:t xml:space="preserve">[6] Diao, X., Huo, Y., Zhao, S., Yuan, J., Cui, M., Wang, Y., Lian, X., &amp; Zhao, W. (2021). Automated ICD coding from primary diagnosis via clinically interpretable machine learning.</w:t>
      </w:r>
      <w:r>
        <w:t xml:space="preserve"> </w:t>
      </w:r>
      <w:r>
        <w:rPr>
          <w:i/>
          <w:iCs/>
        </w:rPr>
        <w:t xml:space="preserve">International Journal of Medical Informatics</w:t>
      </w:r>
      <w:r>
        <w:t xml:space="preserve">,</w:t>
      </w:r>
      <w:r>
        <w:t xml:space="preserve"> </w:t>
      </w:r>
      <w:r>
        <w:rPr>
          <w:i/>
          <w:iCs/>
        </w:rPr>
        <w:t xml:space="preserve">153</w:t>
      </w:r>
      <w:r>
        <w:t xml:space="preserve">, Article 104543. https://doi.org/10.1016/j.ijmedinf.2021.104543</w:t>
      </w:r>
    </w:p>
    <w:p>
      <w:pPr>
        <w:pStyle w:val="BodyText"/>
      </w:pPr>
      <w:r>
        <w:t xml:space="preserve">[7] Mu, J., Li, C., Kang, T., Dong, C., Chen, C., Ou, B., Liang, H., &amp; Zhang, N. (2026). Facilitators and barriers to implementing AI-assisted diagnostic systems in primary healthcare services in low-resource settings: A mixed-methods protocol.</w:t>
      </w:r>
      <w:r>
        <w:t xml:space="preserve"> </w:t>
      </w:r>
      <w:r>
        <w:rPr>
          <w:i/>
          <w:iCs/>
        </w:rPr>
        <w:t xml:space="preserve">Frontiers in Digital Health</w:t>
      </w:r>
      <w:r>
        <w:t xml:space="preserve">,</w:t>
      </w:r>
      <w:r>
        <w:t xml:space="preserve"> </w:t>
      </w:r>
      <w:r>
        <w:rPr>
          <w:i/>
          <w:iCs/>
        </w:rPr>
        <w:t xml:space="preserve">8</w:t>
      </w:r>
      <w:r>
        <w:t xml:space="preserve">, Article 1967645. https://doi.org/10.3389/fdgth.2026.1967645</w:t>
      </w:r>
    </w:p>
    <w:p>
      <w:pPr>
        <w:pStyle w:val="BodyText"/>
      </w:pPr>
      <w:r>
        <w:t xml:space="preserve">[8] Asgari, E., Montaña-Brown, N., Dubois, M., Khalil, S., Balloch, J., Au Yeung, J., &amp; Pimenta, D. (2025). A framework to assess clinical safety and hallucination rates of LLMs for medical text summarisation.</w:t>
      </w:r>
      <w:r>
        <w:t xml:space="preserve"> </w:t>
      </w:r>
      <w:r>
        <w:rPr>
          <w:i/>
          <w:iCs/>
        </w:rPr>
        <w:t xml:space="preserve">npj Digital Medicine</w:t>
      </w:r>
      <w:r>
        <w:t xml:space="preserve">,</w:t>
      </w:r>
      <w:r>
        <w:t xml:space="preserve"> </w:t>
      </w:r>
      <w:r>
        <w:rPr>
          <w:i/>
          <w:iCs/>
        </w:rPr>
        <w:t xml:space="preserve">8</w:t>
      </w:r>
      <w:r>
        <w:t xml:space="preserve">, Article 274. https://doi.org/10.1038/s41746-025-01670-7</w:t>
      </w:r>
    </w:p>
    <w:p>
      <w:pPr>
        <w:pStyle w:val="BodyText"/>
      </w:pPr>
      <w:r>
        <w:t xml:space="preserve">[9] Omar, M. A., Reih, D. C., Freeman, R., Guavina, N., Charney, A., Stump, L., Bragazzi, N. L., Nadkarni, G., &amp; Klang, E. (2025). Multi-model assurance analysis showing large language model assets are highly vulnerable to adversarial hallucination attacks during clinical decision support.</w:t>
      </w:r>
      <w:r>
        <w:t xml:space="preserve"> </w:t>
      </w:r>
      <w:r>
        <w:rPr>
          <w:i/>
          <w:iCs/>
        </w:rPr>
        <w:t xml:space="preserve">npj Digital Medicine</w:t>
      </w:r>
      <w:r>
        <w:t xml:space="preserve">,</w:t>
      </w:r>
      <w:r>
        <w:t xml:space="preserve"> </w:t>
      </w:r>
      <w:r>
        <w:rPr>
          <w:i/>
          <w:iCs/>
        </w:rPr>
        <w:t xml:space="preserve">8</w:t>
      </w:r>
      <w:r>
        <w:t xml:space="preserve">(1), Article 330. https://doi.org/10.1038/s41746-025-01021-3</w:t>
      </w:r>
    </w:p>
    <w:p>
      <w:pPr>
        <w:pStyle w:val="BodyText"/>
      </w:pPr>
      <w:r>
        <w:t xml:space="preserve">[10] Almeida, D. (2026).</w:t>
      </w:r>
      <w:r>
        <w:t xml:space="preserve"> </w:t>
      </w:r>
      <w:r>
        <w:rPr>
          <w:i/>
          <w:iCs/>
        </w:rPr>
        <w:t xml:space="preserve">Introducing System One models &amp; Jev</w:t>
      </w:r>
      <w:r>
        <w:t xml:space="preserve">. TypeSafe AI. https://typesafe.ai/blog/introducing-system-one-models-and-jev</w:t>
      </w:r>
    </w:p>
    <w:p>
      <w:pPr>
        <w:pStyle w:val="BodyText"/>
      </w:pPr>
      <w:r>
        <w:t xml:space="preserve">[11] Kahneman, D. (2011).</w:t>
      </w:r>
      <w:r>
        <w:t xml:space="preserve"> </w:t>
      </w:r>
      <w:r>
        <w:rPr>
          <w:i/>
          <w:iCs/>
        </w:rPr>
        <w:t xml:space="preserve">Thinking, fast and slow</w:t>
      </w:r>
      <w:r>
        <w:t xml:space="preserve">. Farrar, Straus and Giroux.</w:t>
      </w:r>
    </w:p>
    <w:p>
      <w:pPr>
        <w:pStyle w:val="BodyText"/>
      </w:pPr>
      <w:r>
        <w:t xml:space="preserve">[12] Arifin, H., Ibrahim, K., Rahmaywati, L., Herliani, Y. K., Kurniawati, Y., Pradipta, R. O., Sari, G. M., Ko, N.-Y., &amp; Wiratama, B. S. (2022). HIV-related knowledge, information, and their contribution to stigmatization attitudes among females aged 15-24 years: Regional disparities in Indonesia.</w:t>
      </w:r>
      <w:r>
        <w:t xml:space="preserve"> </w:t>
      </w:r>
      <w:r>
        <w:rPr>
          <w:i/>
          <w:iCs/>
        </w:rPr>
        <w:t xml:space="preserve">BMC Public Health</w:t>
      </w:r>
      <w:r>
        <w:t xml:space="preserve">,</w:t>
      </w:r>
      <w:r>
        <w:t xml:space="preserve"> </w:t>
      </w:r>
      <w:r>
        <w:rPr>
          <w:i/>
          <w:iCs/>
        </w:rPr>
        <w:t xml:space="preserve">22</w:t>
      </w:r>
      <w:r>
        <w:t xml:space="preserve">, Article 637. https://doi.org/10.1186/s12889-022-13046-7</w:t>
      </w:r>
    </w:p>
    <w:p>
      <w:pPr>
        <w:pStyle w:val="BodyText"/>
      </w:pPr>
      <w:r>
        <w:t xml:space="preserve">[13] de Hond, A. A. H., Shah, V. B., Kant, I. M. J., van Calster, B., Steyerberg, E. W., &amp; Hernandez-Boussard, T. (2023). Perspectives on validation of clinical predictive algorithms.</w:t>
      </w:r>
      <w:r>
        <w:t xml:space="preserve"> </w:t>
      </w:r>
      <w:r>
        <w:rPr>
          <w:i/>
          <w:iCs/>
        </w:rPr>
        <w:t xml:space="preserve">npj Digital Medicine</w:t>
      </w:r>
      <w:r>
        <w:t xml:space="preserve">,</w:t>
      </w:r>
      <w:r>
        <w:t xml:space="preserve"> </w:t>
      </w:r>
      <w:r>
        <w:rPr>
          <w:i/>
          <w:iCs/>
        </w:rPr>
        <w:t xml:space="preserve">6</w:t>
      </w:r>
      <w:r>
        <w:t xml:space="preserve">, Article 86. https://doi.org/10.1038/s41746-023-00832-9</w:t>
      </w:r>
    </w:p>
    <w:p>
      <w:pPr>
        <w:pStyle w:val="BodyText"/>
      </w:pPr>
      <w:r>
        <w:t xml:space="preserve">[14] Kamat, A. (2026).</w:t>
      </w:r>
      <w:r>
        <w:t xml:space="preserve"> </w:t>
      </w:r>
      <w:r>
        <w:rPr>
          <w:i/>
          <w:iCs/>
        </w:rPr>
        <w:t xml:space="preserve">System One Gemma: Open-source Jev-style decision model</w:t>
      </w:r>
      <w:r>
        <w:t xml:space="preserve"> </w:t>
      </w:r>
      <w:r>
        <w:t xml:space="preserve">[Computer software]. GitHub. https://github.com/akash-kamat/system-one-gemma</w:t>
      </w:r>
    </w:p>
    <w:p>
      <w:pPr>
        <w:pStyle w:val="BodyText"/>
      </w:pPr>
      <w:r>
        <w:t xml:space="preserve">[15] Warner, B., Chaffin, A., Clavié, B., He, N., Hou, L., Hategan, D., Gallagher, J., &amp; Morris, J. (2024).</w:t>
      </w:r>
      <w:r>
        <w:t xml:space="preserve"> </w:t>
      </w:r>
      <w:r>
        <w:rPr>
          <w:i/>
          <w:iCs/>
        </w:rPr>
        <w:t xml:space="preserve">Smarter, better, faster, longer: A modern bidirectional encoder for fast, long context understanding</w:t>
      </w:r>
      <w:r>
        <w:t xml:space="preserve">. arXiv. https://arxiv.org/abs/2412.13663</w:t>
      </w:r>
    </w:p>
    <w:p>
      <w:pPr>
        <w:pStyle w:val="BodyText"/>
      </w:pPr>
      <w:r>
        <w:t xml:space="preserve">[16] Guo, C., Pleiss, G., Sun, Y., &amp; Weinberger, K. Q. (2017). On calibration of modern neural networks. In</w:t>
      </w:r>
      <w:r>
        <w:t xml:space="preserve"> </w:t>
      </w:r>
      <w:r>
        <w:rPr>
          <w:i/>
          <w:iCs/>
        </w:rPr>
        <w:t xml:space="preserve">Proceedings of the 34th International Conference on Machine Learning</w:t>
      </w:r>
      <w:r>
        <w:t xml:space="preserve"> </w:t>
      </w:r>
      <w:r>
        <w:t xml:space="preserve">(Vol. 70, pp. 1321-1330). PMLR.</w:t>
      </w:r>
    </w:p>
    <w:p>
      <w:pPr>
        <w:pStyle w:val="BodyText"/>
      </w:pPr>
      <w:r>
        <w:t xml:space="preserve">[17] Naeini, M. P., Cooper, G. F., &amp; Hauskrecht, M. (2015). Obtaining well calibrated probabilities using Bayesian binning into quantiles. In</w:t>
      </w:r>
      <w:r>
        <w:t xml:space="preserve"> </w:t>
      </w:r>
      <w:r>
        <w:rPr>
          <w:i/>
          <w:iCs/>
        </w:rPr>
        <w:t xml:space="preserve">Proceedings of the 29th AAAI Conference on Artificial Intelligence</w:t>
      </w:r>
      <w:r>
        <w:t xml:space="preserve"> </w:t>
      </w:r>
      <w:r>
        <w:t xml:space="preserve">(pp. 2901-2907). AAAI Press.</w:t>
      </w:r>
    </w:p>
    <w:p>
      <w:pPr>
        <w:pStyle w:val="BodyText"/>
      </w:pPr>
      <w:r>
        <w:t xml:space="preserve">[18] Christiano, P. F., Leike, J., Brown, T., Martic, M., Legg, S., &amp; Amodei, D. (2017). Deep reinforcement learning from human preferences. In</w:t>
      </w:r>
      <w:r>
        <w:t xml:space="preserve"> </w:t>
      </w:r>
      <w:r>
        <w:rPr>
          <w:i/>
          <w:iCs/>
        </w:rPr>
        <w:t xml:space="preserve">Advances in Neural Information Processing Systems (NeurIPS 2017)</w:t>
      </w:r>
      <w:r>
        <w:t xml:space="preserve"> </w:t>
      </w:r>
      <w:r>
        <w:t xml:space="preserve">(Vol. 30). https://doi.org/10.48550/arXiv.1706.03741</w:t>
      </w:r>
    </w:p>
    <w:p>
      <w:pPr>
        <w:pStyle w:val="BodyText"/>
      </w:pPr>
      <w:r>
        <w:t xml:space="preserve">[19] Ouyang, L., Wu, J., Jiang, X., Almeida, D., Wainwright, C., Mishkin, P., Zhang, C., Agarwal, S., Slama, K., Ray, A., &amp; others. (2022). Training language models to follow instructions with human feedback. In</w:t>
      </w:r>
      <w:r>
        <w:t xml:space="preserve"> </w:t>
      </w:r>
      <w:r>
        <w:rPr>
          <w:i/>
          <w:iCs/>
        </w:rPr>
        <w:t xml:space="preserve">Advances in Neural Information Processing Systems (NeurIPS 2022)</w:t>
      </w:r>
      <w:r>
        <w:t xml:space="preserve"> </w:t>
      </w:r>
      <w:r>
        <w:t xml:space="preserve">(Vol. 35, pp. 27730-27744).</w:t>
      </w:r>
    </w:p>
    <w:p>
      <w:pPr>
        <w:pStyle w:val="BodyText"/>
      </w:pPr>
      <w:r>
        <w:t xml:space="preserve">[20] Lekadir, K., Frangi, A. F., Porras, A. R., Glocker, B., Cintas, C., Langlotz, C. P., Weicken, E., Asselbergs, F. W., Prior, F., Collins, G. S., Kaissis, G., Tsakou, G., Buvat, I., Kalpathy-Cramer, J., Mongan, J., Schnabel, J. A., Kushibar, K., Riklund, K., Marias, K., … Starmans, M. P. A. (2025). FUTURE-AI: International consensus guideline for trustworthy and deployable artificial intelligence in healthcare.</w:t>
      </w:r>
      <w:r>
        <w:t xml:space="preserve"> </w:t>
      </w:r>
      <w:r>
        <w:rPr>
          <w:i/>
          <w:iCs/>
        </w:rPr>
        <w:t xml:space="preserve">BMJ</w:t>
      </w:r>
      <w:r>
        <w:t xml:space="preserve">,</w:t>
      </w:r>
      <w:r>
        <w:t xml:space="preserve"> </w:t>
      </w:r>
      <w:r>
        <w:rPr>
          <w:i/>
          <w:iCs/>
        </w:rPr>
        <w:t xml:space="preserve">388</w:t>
      </w:r>
      <w:r>
        <w:t xml:space="preserve">, Article e081554. https://doi.org/10.1136/bmj-2024-081554</w:t>
      </w:r>
    </w:p>
    <w:p>
      <w:pPr>
        <w:pStyle w:val="BodyText"/>
      </w:pPr>
      <w:r>
        <w:t xml:space="preserve">[21] Hasan, A., Wu, J., Nguyen, Q. N., Mendes, A., Guellil, I., Zhang, H., Casey, A., Alex, B., Guthrie, B., &amp; Wu, H. (2025). Infusing clinical knowledge into language models by subword optimisation and embedding initialisation.</w:t>
      </w:r>
      <w:r>
        <w:t xml:space="preserve"> </w:t>
      </w:r>
      <w:r>
        <w:rPr>
          <w:i/>
          <w:iCs/>
        </w:rPr>
        <w:t xml:space="preserve">Computers in Biology and Medicine</w:t>
      </w:r>
      <w:r>
        <w:t xml:space="preserve">,</w:t>
      </w:r>
      <w:r>
        <w:t xml:space="preserve"> </w:t>
      </w:r>
      <w:r>
        <w:rPr>
          <w:i/>
          <w:iCs/>
        </w:rPr>
        <w:t xml:space="preserve">196</w:t>
      </w:r>
      <w:r>
        <w:t xml:space="preserve">(Pt C), Article 110747. https://doi.org/10.1016/j.compbiomed.2025.110747</w:t>
      </w:r>
    </w:p>
    <w:p>
      <w:pPr>
        <w:pStyle w:val="BodyText"/>
      </w:pPr>
      <w:r>
        <w:t xml:space="preserve">[22] Koto, F., Rahimi, A., Lau, J. H., &amp; Baldwin, T. (2020). IndoLEM and IndoBERT: A benchmark dataset and pre-trained language model for Indonesian NLP. In</w:t>
      </w:r>
      <w:r>
        <w:t xml:space="preserve"> </w:t>
      </w:r>
      <w:r>
        <w:rPr>
          <w:i/>
          <w:iCs/>
        </w:rPr>
        <w:t xml:space="preserve">Proceedings of the 28th International Conference on Computational Linguistics (COLING)</w:t>
      </w:r>
      <w:r>
        <w:t xml:space="preserve"> </w:t>
      </w:r>
      <w:r>
        <w:t xml:space="preserve">(pp. 757-770). International Committee on Computational Linguistics.</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7" Target="media/rId27.png" /><Relationship Type="http://schemas.openxmlformats.org/officeDocument/2006/relationships/hyperlink" Id="rId40" Target="https://github.com/solie/pusk_cdss.git" TargetMode="External" /></Relationships>
</file>

<file path=word/_rels/footnotes.xml.rels><?xml version="1.0" encoding="UTF-8"?><Relationships xmlns="http://schemas.openxmlformats.org/package/2006/relationships"><Relationship Type="http://schemas.openxmlformats.org/officeDocument/2006/relationships/hyperlink" Id="rId40" Target="https://github.com/solie/pusk_cdss.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2026-10-09T01:46:19Z</dcterms:created>
  <dcterms:modified xsi:type="dcterms:W3CDTF">2026-10-09T01:46:19Z</dcterms:modified>
</cp:coreProperties>
</file>

<file path=docProps/custom.xml><?xml version="1.0" encoding="utf-8"?>
<Properties xmlns="http://schemas.openxmlformats.org/officeDocument/2006/custom-properties" xmlns:vt="http://schemas.openxmlformats.org/officeDocument/2006/docPropsVTypes"/>
</file>