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3E50"/>
          <w:sz w:val="36"/>
          <w:szCs w:val="36"/>
        </w:rPr>
        <w:t xml:space="preserve">Trajectory Geometry in Transformer Hidden States</w:t>
      </w:r>
    </w:p>
    <w:p>
      <w:pPr>
        <w:spacing w:after="40"/>
        <w:jc w:val="center"/>
      </w:pPr>
      <w:r>
        <w:rPr>
          <w:rFonts w:ascii="Arial" w:cs="Arial" w:eastAsia="Arial" w:hAnsi="Arial"/>
          <w:color w:val="666666"/>
          <w:sz w:val="24"/>
          <w:szCs w:val="24"/>
        </w:rPr>
        <w:t xml:space="preserve">Summary of Methods and Core Findings</w:t>
      </w:r>
    </w:p>
    <w:p>
      <w:pPr>
        <w:spacing w:after="300"/>
        <w:jc w:val="center"/>
      </w:pPr>
      <w:r>
        <w:rPr>
          <w:rFonts w:ascii="Arial" w:cs="Arial" w:eastAsia="Arial" w:hAnsi="Arial"/>
          <w:color w:val="888888"/>
          <w:sz w:val="20"/>
          <w:szCs w:val="20"/>
        </w:rPr>
        <w:t xml:space="preserve">Kareem Ayoub  |  February 2026  |  Independent Research</w:t>
      </w:r>
    </w:p>
    <w:p>
      <w:pPr>
        <w:pStyle w:val="Heading1"/>
        <w:spacing w:before="360" w:after="120"/>
      </w:pPr>
      <w:r>
        <w:rPr>
          <w:rFonts w:ascii="Arial" w:cs="Arial" w:eastAsia="Arial" w:hAnsi="Arial"/>
          <w:b/>
          <w:bCs/>
          <w:color w:val="2C3E50"/>
          <w:sz w:val="28"/>
          <w:szCs w:val="28"/>
        </w:rPr>
        <w:t xml:space="preserve">The question</w:t>
      </w:r>
    </w:p>
    <w:p>
      <w:pPr>
        <w:spacing w:after="200" w:before="0" w:line="276"/>
        <w:jc w:val="left"/>
      </w:pPr>
      <w:r>
        <w:rPr>
          <w:rFonts w:ascii="Arial" w:cs="Arial" w:eastAsia="Arial" w:hAnsi="Arial"/>
          <w:sz w:val="22"/>
          <w:szCs w:val="22"/>
        </w:rPr>
        <w:t xml:space="preserve">When a transformer solves a multi-step arithmetic problem, its hidden states trace a path through a high-dimensional vector space, one point per (token, layer) pair. I have been measuring the geometric properties of these trajectories and asking whether those properties predict reasoning success.</w:t>
      </w:r>
    </w:p>
    <w:p>
      <w:pPr>
        <w:spacing w:after="200" w:before="0" w:line="276"/>
        <w:jc w:val="left"/>
      </w:pPr>
      <w:r>
        <w:rPr>
          <w:rFonts w:ascii="Arial" w:cs="Arial" w:eastAsia="Arial" w:hAnsi="Arial"/>
          <w:sz w:val="22"/>
          <w:szCs w:val="22"/>
        </w:rPr>
        <w:t xml:space="preserve">The short answer is yes, with large effect sizes. The longer answer is that "success" has geometrically opposite signatures depending on the computational regime the model is operating in, and this regime-dependence is itself informative.</w:t>
      </w:r>
    </w:p>
    <w:p>
      <w:pPr>
        <w:pStyle w:val="Heading1"/>
        <w:spacing w:before="360" w:after="120"/>
      </w:pPr>
      <w:r>
        <w:rPr>
          <w:rFonts w:ascii="Arial" w:cs="Arial" w:eastAsia="Arial" w:hAnsi="Arial"/>
          <w:b/>
          <w:bCs/>
          <w:color w:val="2C3E50"/>
          <w:sz w:val="28"/>
          <w:szCs w:val="28"/>
        </w:rPr>
        <w:t xml:space="preserve">Experimental setup</w:t>
      </w:r>
    </w:p>
    <w:p>
      <w:pPr>
        <w:spacing w:after="200" w:before="0" w:line="276"/>
        <w:jc w:val="left"/>
      </w:pPr>
      <w:r>
        <w:rPr>
          <w:rFonts w:ascii="Arial" w:cs="Arial" w:eastAsia="Arial" w:hAnsi="Arial"/>
          <w:sz w:val="22"/>
          <w:szCs w:val="22"/>
        </w:rPr>
        <w:t xml:space="preserve">The primary dataset uses </w:t>
      </w:r>
      <w:r>
        <w:rPr>
          <w:rFonts w:ascii="Arial" w:cs="Arial" w:eastAsia="Arial" w:hAnsi="Arial"/>
          <w:b/>
          <w:bCs/>
          <w:sz w:val="22"/>
          <w:szCs w:val="22"/>
        </w:rPr>
        <w:t xml:space="preserve">Qwen2.5-0.5B</w:t>
      </w:r>
      <w:r>
        <w:rPr>
          <w:rFonts w:ascii="Arial" w:cs="Arial" w:eastAsia="Arial" w:hAnsi="Arial"/>
          <w:sz w:val="22"/>
          <w:szCs w:val="22"/>
        </w:rPr>
        <w:t xml:space="preserve"> (24 transformer layers, hidden_dim = 896) on 300 multi-step arithmetic problems of the form (a * b) + c or (a + b) * c. Each problem is run under two prompting conditions: </w:t>
      </w:r>
      <w:r>
        <w:rPr>
          <w:rFonts w:ascii="Arial" w:cs="Arial" w:eastAsia="Arial" w:hAnsi="Arial"/>
          <w:b/>
          <w:bCs/>
          <w:sz w:val="22"/>
          <w:szCs w:val="22"/>
        </w:rPr>
        <w:t xml:space="preserve">Direct</w:t>
      </w:r>
      <w:r>
        <w:rPr>
          <w:rFonts w:ascii="Arial" w:cs="Arial" w:eastAsia="Arial" w:hAnsi="Arial"/>
          <w:sz w:val="22"/>
          <w:szCs w:val="22"/>
        </w:rPr>
        <w:t xml:space="preserve"> ("Calculate ...") and </w:t>
      </w:r>
      <w:r>
        <w:rPr>
          <w:rFonts w:ascii="Arial" w:cs="Arial" w:eastAsia="Arial" w:hAnsi="Arial"/>
          <w:b/>
          <w:bCs/>
          <w:sz w:val="22"/>
          <w:szCs w:val="22"/>
        </w:rPr>
        <w:t xml:space="preserve">Chain-of-Thought</w:t>
      </w:r>
      <w:r>
        <w:rPr>
          <w:rFonts w:ascii="Arial" w:cs="Arial" w:eastAsia="Arial" w:hAnsi="Arial"/>
          <w:sz w:val="22"/>
          <w:szCs w:val="22"/>
        </w:rPr>
        <w:t xml:space="preserve"> ("Think step by step ..."). Correctness is verified by exact numerical match.</w:t>
      </w:r>
    </w:p>
    <w:p>
      <w:pPr>
        <w:spacing w:after="200" w:before="0" w:line="276"/>
        <w:jc w:val="left"/>
      </w:pPr>
      <w:r>
        <w:rPr>
          <w:rFonts w:ascii="Arial" w:cs="Arial" w:eastAsia="Arial" w:hAnsi="Arial"/>
          <w:sz w:val="22"/>
          <w:szCs w:val="22"/>
        </w:rPr>
        <w:t xml:space="preserve">This produces four groups by crossing condition with outcome: G1 (Direct Failure, n = 247), G2 (Direct Success, n = 53), G3 (CoT Failure, n = 77), G4 (CoT Success, n = 223). Hidden states are extracted at all 25 layers for the first 32 generated tokens per response.</w:t>
      </w:r>
    </w:p>
    <w:p>
      <w:pPr>
        <w:spacing w:after="200" w:before="0" w:line="276"/>
        <w:jc w:val="left"/>
      </w:pPr>
      <w:r>
        <w:rPr>
          <w:rFonts w:ascii="Arial" w:cs="Arial" w:eastAsia="Arial" w:hAnsi="Arial"/>
          <w:sz w:val="22"/>
          <w:szCs w:val="22"/>
        </w:rPr>
        <w:t xml:space="preserve">For each trajectory I compute 54 scalar metrics per layer, spanning kinematics (speed, turning angle, directional consistency), cloud geometry (radius of gyration, effective dimension, gyration anisotropy), diffusion dynamics (MSD exponent), autocorrelation structure (velocity and direction at lags 1/2/4/8), convergence behavior (cosine slopes, point-of-no-return token), recurrence quantification (determinism, laminarity, trapping time), spectral properties (PSD slope, spectral entropy), attractor dynamics (distance to success centroid, divergence slope), semantic landmarks (cosine proximity to operand/intermediate/answer embeddings via logit lens), and information-theoretic measures (step surprisal, trajectory entropy rate).</w:t>
      </w:r>
    </w:p>
    <w:p>
      <w:pPr>
        <w:pStyle w:val="Heading1"/>
        <w:spacing w:before="360" w:after="120"/>
      </w:pPr>
      <w:r>
        <w:rPr>
          <w:rFonts w:ascii="Arial" w:cs="Arial" w:eastAsia="Arial" w:hAnsi="Arial"/>
          <w:b/>
          <w:bCs/>
          <w:color w:val="2C3E50"/>
          <w:sz w:val="28"/>
          <w:szCs w:val="28"/>
        </w:rPr>
        <w:t xml:space="preserve">Core findings</w:t>
      </w:r>
    </w:p>
    <w:p>
      <w:pPr>
        <w:pStyle w:val="Heading2"/>
        <w:spacing w:before="240" w:after="120"/>
      </w:pPr>
      <w:r>
        <w:rPr>
          <w:rFonts w:ascii="Arial" w:cs="Arial" w:eastAsia="Arial" w:hAnsi="Arial"/>
          <w:b/>
          <w:bCs/>
          <w:color w:val="2C3E50"/>
          <w:sz w:val="24"/>
          <w:szCs w:val="24"/>
        </w:rPr>
        <w:t xml:space="preserve">1. Regime separation is near-perfect</w:t>
      </w:r>
    </w:p>
    <w:p>
      <w:pPr>
        <w:spacing w:after="200" w:before="0" w:line="276"/>
        <w:jc w:val="left"/>
      </w:pPr>
      <w:r>
        <w:rPr>
          <w:rFonts w:ascii="Arial" w:cs="Arial" w:eastAsia="Arial" w:hAnsi="Arial"/>
          <w:sz w:val="22"/>
          <w:szCs w:val="22"/>
        </w:rPr>
        <w:t xml:space="preserve">Logistic regression on the 54-metric vector at layer 17 achieves </w:t>
      </w:r>
      <w:r>
        <w:rPr>
          <w:rFonts w:ascii="Arial" w:cs="Arial" w:eastAsia="Arial" w:hAnsi="Arial"/>
          <w:b/>
          <w:bCs/>
          <w:sz w:val="22"/>
          <w:szCs w:val="22"/>
        </w:rPr>
        <w:t xml:space="preserve">AUC = 1.000</w:t>
      </w:r>
      <w:r>
        <w:rPr>
          <w:rFonts w:ascii="Arial" w:cs="Arial" w:eastAsia="Arial" w:hAnsi="Arial"/>
          <w:sz w:val="22"/>
          <w:szCs w:val="22"/>
        </w:rPr>
        <w:t xml:space="preserve"> for classifying G1 vs G4 (Direct Failure vs CoT Success). The top discriminator is mean_attractor_dist (Cohen's d = -6.55), meaning CoT-success trajectories cluster tightly around the population centroid of other successes, while Direct-failure trajectories are far from it. This effect is consistent across layers 3 through 21.</w:t>
      </w:r>
    </w:p>
    <w:p>
      <w:pPr>
        <w:pStyle w:val="Heading2"/>
        <w:spacing w:before="240" w:after="120"/>
      </w:pPr>
      <w:r>
        <w:rPr>
          <w:rFonts w:ascii="Arial" w:cs="Arial" w:eastAsia="Arial" w:hAnsi="Arial"/>
          <w:b/>
          <w:bCs/>
          <w:color w:val="2C3E50"/>
          <w:sz w:val="24"/>
          <w:szCs w:val="24"/>
        </w:rPr>
        <w:t xml:space="preserve">2. Within-regime prediction works</w:t>
      </w:r>
    </w:p>
    <w:p>
      <w:pPr>
        <w:spacing w:after="200" w:before="0" w:line="276"/>
        <w:jc w:val="left"/>
      </w:pPr>
      <w:r>
        <w:rPr>
          <w:rFonts w:ascii="Arial" w:cs="Arial" w:eastAsia="Arial" w:hAnsi="Arial"/>
          <w:sz w:val="22"/>
          <w:szCs w:val="22"/>
        </w:rPr>
        <w:t xml:space="preserve">The harder test is distinguishing G3 from G4 (CoT Failure vs CoT Success), where both groups use the same prompting format and produce similar-length outputs. Here the 54-metric suite achieves </w:t>
      </w:r>
      <w:r>
        <w:rPr>
          <w:rFonts w:ascii="Arial" w:cs="Arial" w:eastAsia="Arial" w:hAnsi="Arial"/>
          <w:b/>
          <w:bCs/>
          <w:sz w:val="22"/>
          <w:szCs w:val="22"/>
        </w:rPr>
        <w:t xml:space="preserve">AUC = 0.829</w:t>
      </w:r>
      <w:r>
        <w:rPr>
          <w:rFonts w:ascii="Arial" w:cs="Arial" w:eastAsia="Arial" w:hAnsi="Arial"/>
          <w:sz w:val="22"/>
          <w:szCs w:val="22"/>
        </w:rPr>
        <w:t xml:space="preserve"> at layer 17. The top within-CoT discriminators are attractor distance (d = -1.38), cosine slope (d = +1.35), tortuosity (d = +1.24), and trajectory entropy rate (d = +1.22). These are moderate-to-large effects by conventional standards.</w:t>
      </w:r>
    </w:p>
    <w:p>
      <w:pPr>
        <w:pStyle w:val="Heading2"/>
        <w:spacing w:before="240" w:after="120"/>
      </w:pPr>
      <w:r>
        <w:rPr>
          <w:rFonts w:ascii="Arial" w:cs="Arial" w:eastAsia="Arial" w:hAnsi="Arial"/>
          <w:b/>
          <w:bCs/>
          <w:color w:val="2C3E50"/>
          <w:sz w:val="24"/>
          <w:szCs w:val="24"/>
        </w:rPr>
        <w:t xml:space="preserve">3. "Good geometry" is regime-dependent</w:t>
      </w:r>
    </w:p>
    <w:p>
      <w:pPr>
        <w:spacing w:after="200" w:before="0" w:line="276"/>
        <w:jc w:val="left"/>
      </w:pPr>
      <w:r>
        <w:rPr>
          <w:rFonts w:ascii="Arial" w:cs="Arial" w:eastAsia="Arial" w:hAnsi="Arial"/>
          <w:sz w:val="22"/>
          <w:szCs w:val="22"/>
        </w:rPr>
        <w:t xml:space="preserve">This is the central finding. Many metrics flip sign between comparisons. Successful CoT shows </w:t>
      </w:r>
      <w:r>
        <w:rPr>
          <w:rFonts w:ascii="Arial" w:cs="Arial" w:eastAsia="Arial" w:hAnsi="Arial"/>
          <w:b/>
          <w:bCs/>
          <w:sz w:val="22"/>
          <w:szCs w:val="22"/>
        </w:rPr>
        <w:t xml:space="preserve">high</w:t>
      </w:r>
      <w:r>
        <w:rPr>
          <w:rFonts w:ascii="Arial" w:cs="Arial" w:eastAsia="Arial" w:hAnsi="Arial"/>
          <w:sz w:val="22"/>
          <w:szCs w:val="22"/>
        </w:rPr>
        <w:t xml:space="preserve"> effective dimension (d = +5.39 vs G1), </w:t>
      </w:r>
      <w:r>
        <w:rPr>
          <w:rFonts w:ascii="Arial" w:cs="Arial" w:eastAsia="Arial" w:hAnsi="Arial"/>
          <w:b/>
          <w:bCs/>
          <w:sz w:val="22"/>
          <w:szCs w:val="22"/>
        </w:rPr>
        <w:t xml:space="preserve">low</w:t>
      </w:r>
      <w:r>
        <w:rPr>
          <w:rFonts w:ascii="Arial" w:cs="Arial" w:eastAsia="Arial" w:hAnsi="Arial"/>
          <w:sz w:val="22"/>
          <w:szCs w:val="22"/>
        </w:rPr>
        <w:t xml:space="preserve"> directional consistency (d = -3.00 vs G1), and </w:t>
      </w:r>
      <w:r>
        <w:rPr>
          <w:rFonts w:ascii="Arial" w:cs="Arial" w:eastAsia="Arial" w:hAnsi="Arial"/>
          <w:b/>
          <w:bCs/>
          <w:sz w:val="22"/>
          <w:szCs w:val="22"/>
        </w:rPr>
        <w:t xml:space="preserve">high</w:t>
      </w:r>
      <w:r>
        <w:rPr>
          <w:rFonts w:ascii="Arial" w:cs="Arial" w:eastAsia="Arial" w:hAnsi="Arial"/>
          <w:sz w:val="22"/>
          <w:szCs w:val="22"/>
        </w:rPr>
        <w:t xml:space="preserve"> laminarity (d = +3.15 vs G1), consistent with exploration of multiple computational paths before commitment. Successful Direct shows the opposite pattern at the same layers: </w:t>
      </w:r>
      <w:r>
        <w:rPr>
          <w:rFonts w:ascii="Arial" w:cs="Arial" w:eastAsia="Arial" w:hAnsi="Arial"/>
          <w:b/>
          <w:bCs/>
          <w:sz w:val="22"/>
          <w:szCs w:val="22"/>
        </w:rPr>
        <w:t xml:space="preserve">low</w:t>
      </w:r>
      <w:r>
        <w:rPr>
          <w:rFonts w:ascii="Arial" w:cs="Arial" w:eastAsia="Arial" w:hAnsi="Arial"/>
          <w:sz w:val="22"/>
          <w:szCs w:val="22"/>
        </w:rPr>
        <w:t xml:space="preserve"> effective dimension, </w:t>
      </w:r>
      <w:r>
        <w:rPr>
          <w:rFonts w:ascii="Arial" w:cs="Arial" w:eastAsia="Arial" w:hAnsi="Arial"/>
          <w:b/>
          <w:bCs/>
          <w:sz w:val="22"/>
          <w:szCs w:val="22"/>
        </w:rPr>
        <w:t xml:space="preserve">high</w:t>
      </w:r>
      <w:r>
        <w:rPr>
          <w:rFonts w:ascii="Arial" w:cs="Arial" w:eastAsia="Arial" w:hAnsi="Arial"/>
          <w:sz w:val="22"/>
          <w:szCs w:val="22"/>
        </w:rPr>
        <w:t xml:space="preserve"> directional consistency, consistent with rapid retrieval and commitment. A universal "success detector" would fail because success looks geometrically opposite depending on the computational strategy.</w:t>
      </w:r>
    </w:p>
    <w:p>
      <w:pPr>
        <w:pStyle w:val="Heading2"/>
        <w:spacing w:before="240" w:after="120"/>
      </w:pPr>
      <w:r>
        <w:rPr>
          <w:rFonts w:ascii="Arial" w:cs="Arial" w:eastAsia="Arial" w:hAnsi="Arial"/>
          <w:b/>
          <w:bCs/>
          <w:color w:val="2C3E50"/>
          <w:sz w:val="24"/>
          <w:szCs w:val="24"/>
        </w:rPr>
        <w:t xml:space="preserve">4. Trajectories commit at identifiable points</w:t>
      </w:r>
    </w:p>
    <w:p>
      <w:pPr>
        <w:spacing w:after="200" w:before="0" w:line="276"/>
        <w:jc w:val="left"/>
      </w:pPr>
      <w:r>
        <w:rPr>
          <w:rFonts w:ascii="Arial" w:cs="Arial" w:eastAsia="Arial" w:hAnsi="Arial"/>
          <w:sz w:val="22"/>
          <w:szCs w:val="22"/>
        </w:rPr>
        <w:t xml:space="preserve">The pnr_token metric (point of no return: earliest token after which cosine similarity to the final state stays above 0.9) reveals distinct commitment dynamics. G1 (Direct Failure) commits at a median of token 4. G4 (CoT Success) commits at median token 67. G3 (CoT Failure) has median PNR at token 128, the maximum, meaning it never stably commits. Failed CoT trajectories wander without converging; failed Direct trajectories lock in prematurely.</w:t>
      </w:r>
    </w:p>
    <w:p>
      <w:pPr>
        <w:pStyle w:val="Heading2"/>
        <w:spacing w:before="240" w:after="120"/>
      </w:pPr>
      <w:r>
        <w:rPr>
          <w:rFonts w:ascii="Arial" w:cs="Arial" w:eastAsia="Arial" w:hAnsi="Arial"/>
          <w:b/>
          <w:bCs/>
          <w:color w:val="2C3E50"/>
          <w:sz w:val="24"/>
          <w:szCs w:val="24"/>
        </w:rPr>
        <w:t xml:space="preserve">5. Semantic landmarks shift across depth</w:t>
      </w:r>
    </w:p>
    <w:p>
      <w:pPr>
        <w:spacing w:after="200" w:before="0" w:line="276"/>
        <w:jc w:val="left"/>
      </w:pPr>
      <w:r>
        <w:rPr>
          <w:rFonts w:ascii="Arial" w:cs="Arial" w:eastAsia="Arial" w:hAnsi="Arial"/>
          <w:sz w:val="22"/>
          <w:szCs w:val="22"/>
        </w:rPr>
        <w:t xml:space="preserve">Using the model's own embedding matrix as a coordinate system, I track how close each hidden state is to the embeddings of the operands, intermediate results, and final answer across layers. Operand proximity is approximately 1.0 at layer 0 (the model "sees" its inputs) and collapses to approximately 0.01 by layer 6, then partially recovers by layer 24. This recovery is stronger for successful trajectories (G4 operand_0_prox at L24 = 0.29 vs G1 = 0.17). The intermediate result proximity (d = +1.41 at L17) suggests successful trajectories maintain closer contact with the representation of the computational intermediate.</w:t>
      </w:r>
    </w:p>
    <w:p>
      <w:pPr>
        <w:pStyle w:val="Heading2"/>
        <w:spacing w:before="240" w:after="120"/>
      </w:pPr>
      <w:r>
        <w:rPr>
          <w:rFonts w:ascii="Arial" w:cs="Arial" w:eastAsia="Arial" w:hAnsi="Arial"/>
          <w:b/>
          <w:bCs/>
          <w:color w:val="2C3E50"/>
          <w:sz w:val="24"/>
          <w:szCs w:val="24"/>
        </w:rPr>
        <w:t xml:space="preserve">Effect sizes at layer 17 (decision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1400"/>
        <w:gridCol w:w="1400"/>
      </w:tblGrid>
      <w:tr>
        <w:tc>
          <w:tcPr>
            <w:tcW w:type="dxa" w:w="28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376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14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 (G4 v G1)</w:t>
            </w:r>
          </w:p>
        </w:tc>
        <w:tc>
          <w:tcPr>
            <w:tcW w:type="dxa" w:w="14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 (G4 v G3)</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mean_attractor_dist</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18"/>
                <w:szCs w:val="18"/>
              </w:rPr>
              <w:t xml:space="preserve">Distance to success-trajectory centroid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-6.55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-1.38</w:t>
            </w:r>
          </w:p>
        </w:tc>
      </w:tr>
      <w:tr>
        <w:tc>
          <w:tcPr>
            <w:tcW w:type="dxa" w:w="28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left"/>
            </w:pPr>
            <w:r>
              <w:rPr>
                <w:rFonts w:ascii="Arial" w:cs="Arial" w:eastAsia="Arial" w:hAnsi="Arial"/>
                <w:b/>
                <w:bCs/>
                <w:sz w:val="18"/>
                <w:szCs w:val="18"/>
              </w:rPr>
              <w:t xml:space="preserve">effective_dimension</w:t>
            </w:r>
          </w:p>
        </w:tc>
        <w:tc>
          <w:tcPr>
            <w:tcW w:type="dxa" w:w="376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PCA-based dimensionality of trajectory cloud</w:t>
            </w:r>
          </w:p>
        </w:tc>
        <w:tc>
          <w:tcPr>
            <w:tcW w:type="dxa" w:w="14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+5.39</w:t>
            </w:r>
          </w:p>
        </w:tc>
        <w:tc>
          <w:tcPr>
            <w:tcW w:type="dxa" w:w="14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-0.31</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cos_to_running_mean</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18"/>
                <w:szCs w:val="18"/>
              </w:rPr>
              <w:t xml:space="preserve">Cosine similarity to cumulative mean state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+4.42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-1.15</w:t>
            </w:r>
          </w:p>
        </w:tc>
      </w:tr>
      <w:tr>
        <w:tc>
          <w:tcPr>
            <w:tcW w:type="dxa" w:w="28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left"/>
            </w:pPr>
            <w:r>
              <w:rPr>
                <w:rFonts w:ascii="Arial" w:cs="Arial" w:eastAsia="Arial" w:hAnsi="Arial"/>
                <w:b/>
                <w:bCs/>
                <w:sz w:val="18"/>
                <w:szCs w:val="18"/>
              </w:rPr>
              <w:t xml:space="preserve">spectral_entropy</w:t>
            </w:r>
          </w:p>
        </w:tc>
        <w:tc>
          <w:tcPr>
            <w:tcW w:type="dxa" w:w="376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Entropy of power spectral density</w:t>
            </w:r>
          </w:p>
        </w:tc>
        <w:tc>
          <w:tcPr>
            <w:tcW w:type="dxa" w:w="14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+4.04</w:t>
            </w:r>
          </w:p>
        </w:tc>
        <w:tc>
          <w:tcPr>
            <w:tcW w:type="dxa" w:w="14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-1.11</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pnr_token</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18"/>
                <w:szCs w:val="18"/>
              </w:rPr>
              <w:t xml:space="preserve">Token index of irreversible commitment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+4.01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-1.19</w:t>
            </w:r>
          </w:p>
        </w:tc>
      </w:tr>
      <w:tr>
        <w:tc>
          <w:tcPr>
            <w:tcW w:type="dxa" w:w="28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left"/>
            </w:pPr>
            <w:r>
              <w:rPr>
                <w:rFonts w:ascii="Arial" w:cs="Arial" w:eastAsia="Arial" w:hAnsi="Arial"/>
                <w:b/>
                <w:bCs/>
                <w:sz w:val="18"/>
                <w:szCs w:val="18"/>
              </w:rPr>
              <w:t xml:space="preserve">cos_to_success_dir</w:t>
            </w:r>
          </w:p>
        </w:tc>
        <w:tc>
          <w:tcPr>
            <w:tcW w:type="dxa" w:w="376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Alignment with G1-to-G4 centroid direction</w:t>
            </w:r>
          </w:p>
        </w:tc>
        <w:tc>
          <w:tcPr>
            <w:tcW w:type="dxa" w:w="14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+3.86</w:t>
            </w:r>
          </w:p>
        </w:tc>
        <w:tc>
          <w:tcPr>
            <w:tcW w:type="dxa" w:w="14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n/s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radius_of_gyration</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18"/>
                <w:szCs w:val="18"/>
              </w:rPr>
              <w:t xml:space="preserve">Spatial extent of trajectory cloud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+3.75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-0.30</w:t>
            </w:r>
          </w:p>
        </w:tc>
      </w:tr>
      <w:tr>
        <w:tc>
          <w:tcPr>
            <w:tcW w:type="dxa" w:w="28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left"/>
            </w:pPr>
            <w:r>
              <w:rPr>
                <w:rFonts w:ascii="Arial" w:cs="Arial" w:eastAsia="Arial" w:hAnsi="Arial"/>
                <w:b/>
                <w:bCs/>
                <w:sz w:val="18"/>
                <w:szCs w:val="18"/>
              </w:rPr>
              <w:t xml:space="preserve">laminarity</w:t>
            </w:r>
          </w:p>
        </w:tc>
        <w:tc>
          <w:tcPr>
            <w:tcW w:type="dxa" w:w="376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Fraction of recurrence in laminar (trapped) states</w:t>
            </w:r>
          </w:p>
        </w:tc>
        <w:tc>
          <w:tcPr>
            <w:tcW w:type="dxa" w:w="14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+3.15</w:t>
            </w:r>
          </w:p>
        </w:tc>
        <w:tc>
          <w:tcPr>
            <w:tcW w:type="dxa" w:w="14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-0.40</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directional_consistency</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sz w:val="18"/>
                <w:szCs w:val="18"/>
              </w:rPr>
              <w:t xml:space="preserve">Mean cosine between consecutive steps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-3.00</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+0.61</w:t>
            </w:r>
          </w:p>
        </w:tc>
      </w:tr>
      <w:tr>
        <w:tc>
          <w:tcPr>
            <w:tcW w:type="dxa" w:w="28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left"/>
            </w:pPr>
            <w:r>
              <w:rPr>
                <w:rFonts w:ascii="Arial" w:cs="Arial" w:eastAsia="Arial" w:hAnsi="Arial"/>
                <w:b/>
                <w:bCs/>
                <w:sz w:val="18"/>
                <w:szCs w:val="18"/>
              </w:rPr>
              <w:t xml:space="preserve">intermediate_prox</w:t>
            </w:r>
          </w:p>
        </w:tc>
        <w:tc>
          <w:tcPr>
            <w:tcW w:type="dxa" w:w="376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left"/>
            </w:pPr>
            <w:r>
              <w:rPr>
                <w:rFonts w:ascii="Arial" w:cs="Arial" w:eastAsia="Arial" w:hAnsi="Arial"/>
                <w:sz w:val="18"/>
                <w:szCs w:val="18"/>
              </w:rPr>
              <w:t xml:space="preserve">Cosine to intermediate-result embedding</w:t>
            </w:r>
          </w:p>
        </w:tc>
        <w:tc>
          <w:tcPr>
            <w:tcW w:type="dxa" w:w="14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+1.41</w:t>
            </w:r>
          </w:p>
        </w:tc>
        <w:tc>
          <w:tcPr>
            <w:tcW w:type="dxa" w:w="1400"/>
            <w:tcBorders>
              <w:top w:val="single" w:color="BBBBBB" w:sz="1"/>
              <w:left w:val="single" w:color="BBBBBB" w:sz="1"/>
              <w:bottom w:val="single" w:color="BBBBBB" w:sz="1"/>
              <w:right w:val="single" w:color="BBBBBB" w:sz="1"/>
            </w:tcBorders>
            <w:shd w:fill="F8F9FA" w:val="clear"/>
            <w:tcMar>
              <w:top w:type="dxa" w:w="60"/>
              <w:left w:type="dxa" w:w="100"/>
              <w:bottom w:type="dxa" w:w="60"/>
              <w:right w:type="dxa" w:w="100"/>
            </w:tcMar>
          </w:tcPr>
          <w:p>
            <w:pPr>
              <w:jc w:val="center"/>
            </w:pPr>
            <w:r>
              <w:rPr>
                <w:rFonts w:ascii="Arial" w:cs="Arial" w:eastAsia="Arial" w:hAnsi="Arial"/>
                <w:sz w:val="18"/>
                <w:szCs w:val="18"/>
              </w:rPr>
              <w:t xml:space="preserve">n/s</w:t>
            </w:r>
          </w:p>
        </w:tc>
      </w:tr>
    </w:tbl>
    <w:p>
      <w:pPr>
        <w:spacing w:after="200" w:line="276"/>
      </w:pPr>
      <w:r>
        <w:rPr>
          <w:rFonts w:ascii="Arial" w:cs="Arial" w:eastAsia="Arial" w:hAnsi="Arial"/>
          <w:i/>
          <w:iCs/>
          <w:color w:val="555555"/>
          <w:sz w:val="20"/>
          <w:szCs w:val="20"/>
        </w:rPr>
        <w:t xml:space="preserve">Table: Cohen's d for selected metrics at layer 17. G4 v G1 = across-regime separation. G4 v G3 = within-CoT success prediction. n/s = not significant at p &lt; 0.01.</w:t>
      </w:r>
    </w:p>
    <w:p>
      <w:pPr>
        <w:pStyle w:val="Heading1"/>
        <w:spacing w:before="360" w:after="120"/>
      </w:pPr>
      <w:r>
        <w:rPr>
          <w:rFonts w:ascii="Arial" w:cs="Arial" w:eastAsia="Arial" w:hAnsi="Arial"/>
          <w:b/>
          <w:bCs/>
          <w:color w:val="2C3E50"/>
          <w:sz w:val="28"/>
          <w:szCs w:val="28"/>
        </w:rPr>
        <w:t xml:space="preserve">Cross-architecture replication</w:t>
      </w:r>
    </w:p>
    <w:p>
      <w:pPr>
        <w:spacing w:after="200" w:before="0" w:line="276"/>
        <w:jc w:val="left"/>
      </w:pPr>
      <w:r>
        <w:rPr>
          <w:rFonts w:ascii="Arial" w:cs="Arial" w:eastAsia="Arial" w:hAnsi="Arial"/>
          <w:sz w:val="22"/>
          <w:szCs w:val="22"/>
        </w:rPr>
        <w:t xml:space="preserve">I replicated the analysis on Qwen2.5-1.5B (28 layers) and Pythia-70m (6 layers) using the same 300 problems. The core finding of regime-dependent geometry holds across architectures: regime discrimination (G1 vs G4) produces large effect sizes in all three models. However, the polarity of specific metrics can invert. In the 1.5B model, where Direct accuracy rises to 66%, successful Direct trajectories show higher effective dimension than failures, the opposite of the 0.5B pattern. This suggests that geometric signatures of success are calibrated to the model's capability relative to task difficulty.</w:t>
      </w:r>
    </w:p>
    <w:p>
      <w:pPr>
        <w:spacing w:after="200" w:line="276"/>
      </w:pPr>
      <w:r>
        <w:rPr>
          <w:rFonts w:ascii="Arial" w:cs="Arial" w:eastAsia="Arial" w:hAnsi="Arial"/>
          <w:i/>
          <w:iCs/>
          <w:color w:val="555555"/>
          <w:sz w:val="20"/>
          <w:szCs w:val="20"/>
        </w:rPr>
        <w:t xml:space="preserve">Limitation: The 1.5B and Pythia datasets use truncated responses (first 32 tokens), which may cut off some CoT chains. These replication results should be interpreted as partial.</w:t>
      </w:r>
    </w:p>
    <w:p>
      <w:pPr>
        <w:pStyle w:val="Heading1"/>
        <w:spacing w:before="360" w:after="120"/>
      </w:pPr>
      <w:r>
        <w:rPr>
          <w:rFonts w:ascii="Arial" w:cs="Arial" w:eastAsia="Arial" w:hAnsi="Arial"/>
          <w:b/>
          <w:bCs/>
          <w:color w:val="2C3E50"/>
          <w:sz w:val="28"/>
          <w:szCs w:val="28"/>
        </w:rPr>
        <w:t xml:space="preserve">Where algebraic geometry could strengthen this work</w:t>
      </w:r>
    </w:p>
    <w:p>
      <w:pPr>
        <w:spacing w:after="200" w:before="0" w:line="276"/>
        <w:jc w:val="left"/>
      </w:pPr>
      <w:r>
        <w:rPr>
          <w:rFonts w:ascii="Arial" w:cs="Arial" w:eastAsia="Arial" w:hAnsi="Arial"/>
          <w:sz w:val="22"/>
          <w:szCs w:val="22"/>
        </w:rPr>
        <w:t xml:space="preserve">My current metric suite treats trajectories as point clouds and time series, using standard tools from physics and dynamical systems (gyration tensors, MSD scaling, recurrence plots, spectral analysis). There are several places where more sophisticated geometric and topological tools might reveal structure I am currently missing:</w:t>
      </w:r>
    </w:p>
    <w:p>
      <w:pPr>
        <w:spacing w:after="200" w:before="0" w:line="276"/>
        <w:jc w:val="left"/>
      </w:pPr>
      <w:r>
        <w:rPr>
          <w:rFonts w:ascii="Arial" w:cs="Arial" w:eastAsia="Arial" w:hAnsi="Arial"/>
          <w:sz w:val="22"/>
          <w:szCs w:val="22"/>
        </w:rPr>
        <w:t xml:space="preserve"/>
      </w:r>
      <w:r>
        <w:rPr>
          <w:rFonts w:ascii="Arial" w:cs="Arial" w:eastAsia="Arial" w:hAnsi="Arial"/>
          <w:b/>
          <w:bCs/>
          <w:sz w:val="22"/>
          <w:szCs w:val="22"/>
        </w:rPr>
        <w:t xml:space="preserve">Manifold structure.</w:t>
      </w:r>
      <w:r>
        <w:rPr>
          <w:rFonts w:ascii="Arial" w:cs="Arial" w:eastAsia="Arial" w:hAnsi="Arial"/>
          <w:sz w:val="22"/>
          <w:szCs w:val="22"/>
        </w:rPr>
        <w:t xml:space="preserve"> The trajectories live in R^896 but clearly occupy a much lower-dimensional submanifold. I currently approximate this with PCA-based effective dimension, but the actual manifold is almost certainly not linear. Characterizing the intrinsic geometry of the trajectory manifold, its curvature, topology, or stratified structure, could reveal why certain trajectories converge and others diverge.</w:t>
      </w:r>
    </w:p>
    <w:p>
      <w:pPr>
        <w:spacing w:after="200" w:before="0" w:line="276"/>
        <w:jc w:val="left"/>
      </w:pPr>
      <w:r>
        <w:rPr>
          <w:rFonts w:ascii="Arial" w:cs="Arial" w:eastAsia="Arial" w:hAnsi="Arial"/>
          <w:sz w:val="22"/>
          <w:szCs w:val="22"/>
        </w:rPr>
        <w:t xml:space="preserve"/>
      </w:r>
      <w:r>
        <w:rPr>
          <w:rFonts w:ascii="Arial" w:cs="Arial" w:eastAsia="Arial" w:hAnsi="Arial"/>
          <w:b/>
          <w:bCs/>
          <w:sz w:val="22"/>
          <w:szCs w:val="22"/>
        </w:rPr>
        <w:t xml:space="preserve">Basin geometry.</w:t>
      </w:r>
      <w:r>
        <w:rPr>
          <w:rFonts w:ascii="Arial" w:cs="Arial" w:eastAsia="Arial" w:hAnsi="Arial"/>
          <w:sz w:val="22"/>
          <w:szCs w:val="22"/>
        </w:rPr>
        <w:t xml:space="preserve"> The attractor metrics show that success trajectories cluster while failure trajectories scatter. But I have no characterization of the shape of these basins. Are they convex? What are their boundaries? Do they have interesting algebraic structure? Understanding basin geometry could make the difference between descriptive analysis and a predictive framework for when a trajectory will fail.</w:t>
      </w:r>
    </w:p>
    <w:p>
      <w:pPr>
        <w:spacing w:after="200" w:before="0" w:line="276"/>
        <w:jc w:val="left"/>
      </w:pPr>
      <w:r>
        <w:rPr>
          <w:rFonts w:ascii="Arial" w:cs="Arial" w:eastAsia="Arial" w:hAnsi="Arial"/>
          <w:sz w:val="22"/>
          <w:szCs w:val="22"/>
        </w:rPr>
        <w:t xml:space="preserve"/>
      </w:r>
      <w:r>
        <w:rPr>
          <w:rFonts w:ascii="Arial" w:cs="Arial" w:eastAsia="Arial" w:hAnsi="Arial"/>
          <w:b/>
          <w:bCs/>
          <w:sz w:val="22"/>
          <w:szCs w:val="22"/>
        </w:rPr>
        <w:t xml:space="preserve">Layer-to-layer maps.</w:t>
      </w:r>
      <w:r>
        <w:rPr>
          <w:rFonts w:ascii="Arial" w:cs="Arial" w:eastAsia="Arial" w:hAnsi="Arial"/>
          <w:sz w:val="22"/>
          <w:szCs w:val="22"/>
        </w:rPr>
        <w:t xml:space="preserve"> Each transformer layer applies a learned nonlinear map to the hidden state. I currently measure interlayer alignment (cosine similarity between consecutive layers) but this is crude. The layer maps likely have interesting properties: fixed points, invariant subspaces, or bifurcation structure that changes depending on the input. Characterizing these maps algebraically could connect trajectory geometry to the actual computation the model performs.</w:t>
      </w:r>
    </w:p>
    <w:p>
      <w:pPr>
        <w:spacing w:after="200" w:before="0" w:line="276"/>
        <w:jc w:val="left"/>
      </w:pPr>
      <w:r>
        <w:rPr>
          <w:rFonts w:ascii="Arial" w:cs="Arial" w:eastAsia="Arial" w:hAnsi="Arial"/>
          <w:sz w:val="22"/>
          <w:szCs w:val="22"/>
        </w:rPr>
        <w:t xml:space="preserve"/>
      </w:r>
      <w:r>
        <w:rPr>
          <w:rFonts w:ascii="Arial" w:cs="Arial" w:eastAsia="Arial" w:hAnsi="Arial"/>
          <w:b/>
          <w:bCs/>
          <w:sz w:val="22"/>
          <w:szCs w:val="22"/>
        </w:rPr>
        <w:t xml:space="preserve">The polarity inversion.</w:t>
      </w:r>
      <w:r>
        <w:rPr>
          <w:rFonts w:ascii="Arial" w:cs="Arial" w:eastAsia="Arial" w:hAnsi="Arial"/>
          <w:sz w:val="22"/>
          <w:szCs w:val="22"/>
        </w:rPr>
        <w:t xml:space="preserve"> When switching from 0.5B to 1.5B, several geometric signatures flip sign. I have a heuristic explanation (capability relative to difficulty) but no formal framework for when or why this happens. If the trajectory manifold undergoes a qualitative topological change as model capacity increases, that would be detectable and predictable with the right tools.</w:t>
      </w:r>
    </w:p>
    <w:p>
      <w:pPr>
        <w:spacing w:after="200" w:before="0" w:line="276"/>
        <w:jc w:val="left"/>
      </w:pPr>
      <w:r>
        <w:rPr>
          <w:rFonts w:ascii="Arial" w:cs="Arial" w:eastAsia="Arial" w:hAnsi="Arial"/>
          <w:sz w:val="22"/>
          <w:szCs w:val="22"/>
        </w:rPr>
        <w:t xml:space="preserve"/>
      </w:r>
      <w:r>
        <w:rPr>
          <w:rFonts w:ascii="Arial" w:cs="Arial" w:eastAsia="Arial" w:hAnsi="Arial"/>
          <w:b/>
          <w:bCs/>
          <w:sz w:val="22"/>
          <w:szCs w:val="22"/>
        </w:rPr>
        <w:t xml:space="preserve">Metric tensor formulation.</w:t>
      </w:r>
      <w:r>
        <w:rPr>
          <w:rFonts w:ascii="Arial" w:cs="Arial" w:eastAsia="Arial" w:hAnsi="Arial"/>
          <w:sz w:val="22"/>
          <w:szCs w:val="22"/>
        </w:rPr>
        <w:t xml:space="preserve"> My original theoretical framework hypothesized that semantic distance in transformer representations is perspective-dependent, describable by a layer-dependent metric tensor g(L) on the hidden state space. The landmark proximity data (operand embeddings collapsing and re-expanding across layers) provides empirical evidence for this, but I lack the mathematical tools to formalize and test it properly.</w:t>
      </w:r>
    </w:p>
    <w:p>
      <w:pPr>
        <w:pStyle w:val="Heading1"/>
        <w:spacing w:before="360" w:after="120"/>
      </w:pPr>
      <w:r>
        <w:rPr>
          <w:rFonts w:ascii="Arial" w:cs="Arial" w:eastAsia="Arial" w:hAnsi="Arial"/>
          <w:b/>
          <w:bCs/>
          <w:color w:val="2C3E50"/>
          <w:sz w:val="28"/>
          <w:szCs w:val="28"/>
        </w:rPr>
        <w:t xml:space="preserve">Current materials</w:t>
      </w:r>
    </w:p>
    <w:p>
      <w:pPr>
        <w:spacing w:after="200" w:before="0" w:line="276"/>
        <w:jc w:val="left"/>
      </w:pPr>
      <w:r>
        <w:rPr>
          <w:rFonts w:ascii="Arial" w:cs="Arial" w:eastAsia="Arial" w:hAnsi="Arial"/>
          <w:sz w:val="22"/>
          <w:szCs w:val="22"/>
        </w:rPr>
        <w:t xml:space="preserve">I have a complete dataset of 54 metrics across 25 layers for 600 trajectories (300 problems x 2 conditions) on Qwen2.5-0.5B, plus partial replication data on two other architectures. I have a Medium article accepted for publication at Towards AI summarizing findings through Experiment 17, and I am preparing an arXiv preprint. The full experimental history (18 experiments, analysis scripts, raw metric CSVs) will be available on GitHub. I am happy to share any of this via Google Drive in the meantime.</w:t>
      </w:r>
    </w:p>
    <w:p>
      <w:pPr>
        <w:spacing w:after="200" w:before="0" w:line="276"/>
        <w:jc w:val="left"/>
      </w:pPr>
      <w:r>
        <w:rPr>
          <w:rFonts w:ascii="Arial" w:cs="Arial" w:eastAsia="Arial" w:hAnsi="Arial"/>
          <w:sz w:val="22"/>
          <w:szCs w:val="22"/>
        </w:rPr>
        <w:t xml:space="preserve">I would very much welcome your perspective on any aspect of this work. If any of the geometric questions above intersect with your interests, I think there is a productive collaboration here. Even a pointer to the right mathematical framework for any of these problems would be valuable.</w:t>
      </w:r>
    </w:p>
    <w:p>
      <w:pPr>
        <w:spacing w:before="400"/>
      </w:pPr>
      <w:r>
        <w:rPr>
          <w:rFonts w:ascii="Arial" w:cs="Arial" w:eastAsia="Arial" w:hAnsi="Arial"/>
          <w:i/>
          <w:iCs/>
          <w:color w:val="555555"/>
          <w:sz w:val="22"/>
          <w:szCs w:val="22"/>
        </w:rPr>
        <w:t xml:space="preserve">Thank you for taking the time to look at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C3E5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2026-02-13T02:25:41.318Z</dcterms:created>
  <dcterms:modified xsi:type="dcterms:W3CDTF">2026-02-13T02:25:41.319Z</dcterms:modified>
</cp:coreProperties>
</file>

<file path=docProps/custom.xml><?xml version="1.0" encoding="utf-8"?>
<Properties xmlns="http://schemas.openxmlformats.org/officeDocument/2006/custom-properties" xmlns:vt="http://schemas.openxmlformats.org/officeDocument/2006/docPropsVTypes"/>
</file>