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Paper_JEB</w:t>
      </w:r>
    </w:p>
    <w:p>
      <w:pPr>
        <w:pStyle w:val="Author"/>
      </w:pPr>
      <w:r>
        <w:t xml:space="preserve">Solimary</w:t>
      </w:r>
    </w:p>
    <w:p>
      <w:pPr>
        <w:pStyle w:val="Date"/>
      </w:pPr>
      <w:r>
        <w:t xml:space="preserve">2026-05-09</w:t>
      </w:r>
    </w:p>
    <w:p>
      <w:pPr>
        <w:pStyle w:val="FirstParagraph"/>
      </w:pPr>
      <w:r>
        <w:rPr>
          <w:b/>
          <w:bCs/>
        </w:rPr>
        <w:t xml:space="preserve">2. MATERIALS AND METHODS</w:t>
      </w:r>
    </w:p>
    <w:p>
      <w:pPr>
        <w:pStyle w:val="BodyText"/>
      </w:pPr>
      <w:r>
        <w:rPr>
          <w:b/>
          <w:bCs/>
        </w:rPr>
        <w:t xml:space="preserve">2.1. Model Overview and Life Cycle</w:t>
      </w:r>
      <w:r>
        <w:t xml:space="preserve"> </w:t>
      </w:r>
      <w:r>
        <w:t xml:space="preserve">To explore how within-population variation in mate preference shapes the topology of sexual networks and mediates eco-evolutionary and epidemiological dynamics, we developed a forward-time, individual-based model (IBM).</w:t>
      </w:r>
      <w:r>
        <w:t xml:space="preserve"> </w:t>
      </w:r>
      <w:r>
        <w:t xml:space="preserve">We simulated populations with discrete, non-overlapping generations and a constant carrying capacity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adult males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adult females.</w:t>
      </w:r>
      <w:r>
        <w:t xml:space="preserve"> </w:t>
      </w:r>
      <w:r>
        <w:t xml:space="preserve">In each generation, individuals underwent a strict sequence of life-history events: viability selection (males only), sequential mate assessment and network formation, sexually transmitted disease (STD) transmission, reproduction via sperm competition, and death.</w:t>
      </w:r>
    </w:p>
    <w:p>
      <w:pPr>
        <w:pStyle w:val="BodyText"/>
      </w:pPr>
      <w:r>
        <w:rPr>
          <w:b/>
          <w:bCs/>
        </w:rPr>
        <w:t xml:space="preserve">2.2. Viability Selection and Genetic Inheritance</w:t>
      </w:r>
      <w:r>
        <w:t xml:space="preserve"> </w:t>
      </w:r>
      <w:r>
        <w:t xml:space="preserve">Males phenotypically expressed a continuous, sexually selected trait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Prior to mating, males were subject to stabilizing natural selection.</w:t>
      </w:r>
      <w:r>
        <w:t xml:space="preserve"> </w:t>
      </w:r>
      <w:r>
        <w:t xml:space="preserve">The viability (survival probability)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male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was modeled as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γ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ϕ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, where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represents the ecological optimum and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defines the intensity of natural selection.</w:t>
      </w:r>
      <w:r>
        <w:t xml:space="preserve"> </w:t>
      </w:r>
      <w:r>
        <w:t xml:space="preserve">Surviving males entered the mating pool.</w:t>
      </w:r>
    </w:p>
    <w:p>
      <w:pPr>
        <w:pStyle w:val="BodyText"/>
      </w:pPr>
      <w:r>
        <w:t xml:space="preserve">Inheritance of the trait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followed a quantitative genetics framework.</w:t>
      </w:r>
      <w:r>
        <w:t xml:space="preserve"> </w:t>
      </w:r>
      <w:r>
        <w:t xml:space="preserve">The genotypic value of offspring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was determined by the mid-parental value plus a segregation variance simulating recombination: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s</m:t>
                    </m:r>
                    <m:r>
                      <m:t>i</m:t>
                    </m:r>
                    <m:r>
                      <m:t>r</m:t>
                    </m:r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  <m:r>
                      <m:t>a</m:t>
                    </m:r>
                    <m:r>
                      <m:t>m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ϵ</m:t>
            </m:r>
          </m:e>
        </m:d>
      </m:oMath>
      <w:r>
        <w:t xml:space="preserve">, where</w:t>
      </w:r>
      <w:r>
        <w:t xml:space="preserve"> </w:t>
      </w:r>
      <m:oMath>
        <m:r>
          <m:t>ϵ</m:t>
        </m:r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t>ϵ</m:t>
                </m:r>
              </m:sub>
            </m:sSub>
            <m:r>
              <m:rPr>
                <m:sty m:val="p"/>
              </m:rPr>
              <m:t>=</m:t>
            </m:r>
            <m:r>
              <m:t>0.2</m:t>
            </m:r>
          </m:e>
        </m:d>
      </m:oMath>
      <w:r>
        <w:t xml:space="preserve">.</w:t>
      </w:r>
      <w:r>
        <w:t xml:space="preserve"> </w:t>
      </w:r>
      <w:r>
        <w:t xml:space="preserve">Crucially, females carried the unexpressed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genotype, transmitting it to both sons and daughters, thereby enabling genetic hitchhiking.</w:t>
      </w:r>
      <w:r>
        <w:t xml:space="preserve"> </w:t>
      </w:r>
      <w:r>
        <w:t xml:space="preserve">To isolate the evolutionary response of the male trait, female preference parameters were not allowed to co-evolve; instead, they were independently redrawn each generation from scenario-specific distributions.</w:t>
      </w:r>
    </w:p>
    <w:p>
      <w:pPr>
        <w:pStyle w:val="BodyText"/>
      </w:pPr>
      <w:r>
        <w:rPr>
          <w:b/>
          <w:bCs/>
        </w:rPr>
        <w:t xml:space="preserve">2.3. Mating Dynamics and Preference Functions</w:t>
      </w:r>
      <w:r>
        <w:t xml:space="preserve"> </w:t>
      </w:r>
      <w:r>
        <w:t xml:space="preserve">Females were defined by two behavioral traits: their preference threshold (</w:t>
      </w:r>
      <m:oMath>
        <m:r>
          <m:t>p</m:t>
        </m:r>
      </m:oMath>
      <w:r>
        <w:t xml:space="preserve">, the ideal male trait value) and their choosiness (</w:t>
      </w:r>
      <m:oMath>
        <m:r>
          <m:t>s</m:t>
        </m:r>
        <m:r>
          <m:rPr>
            <m:sty m:val="p"/>
          </m:rPr>
          <m:t>=</m:t>
        </m:r>
        <m:r>
          <m:t>0.2</m:t>
        </m:r>
      </m:oMath>
      <w:r>
        <w:t xml:space="preserve">, the strictness of the preference).</w:t>
      </w:r>
      <w:r>
        <w:t xml:space="preserve"> </w:t>
      </w:r>
      <w:r>
        <w:t xml:space="preserve">To allow for complex network topologies, we relaxed the assumption of strict monandry (Tarantino &amp; Garcia-Gonzalez, 2026); females were moderately polyandrous, mating with 1 to 3 males (sampled uniformly).</w:t>
      </w:r>
      <w:r>
        <w:t xml:space="preserve"> </w:t>
      </w:r>
      <w:r>
        <w:t xml:space="preserve">Females sequentially assessed up to a maximum number of surviving males (</w:t>
      </w:r>
      <m:oMath>
        <m:sSub>
          <m:e>
            <m:r>
              <m:t>A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).</w:t>
      </w:r>
      <w:r>
        <w:t xml:space="preserve"> </w:t>
      </w:r>
      <w:r>
        <w:t xml:space="preserve">The probability of copulation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upon encountering a male depended on four fundamental sexual selection regimes:</w:t>
      </w:r>
      <w:r>
        <w:t xml:space="preserve"> </w:t>
      </w:r>
      <w:r>
        <w:rPr>
          <w:b/>
          <w:bCs/>
        </w:rPr>
        <w:t xml:space="preserve">(a) Null (Uniform):</w:t>
      </w:r>
      <w:r>
        <w:t xml:space="preserve"> </w:t>
      </w:r>
      <w:r>
        <w:t xml:space="preserve">Random mating 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 rendering phenotypes irrelevant.</w:t>
      </w:r>
      <w:r>
        <w:t xml:space="preserve"> </w:t>
      </w:r>
      <w:r>
        <w:rPr>
          <w:b/>
          <w:bCs/>
        </w:rPr>
        <w:t xml:space="preserve">(b) Stabilizing (Gaussian):</w:t>
      </w:r>
      <w:r>
        <w:t xml:space="preserve"> </w:t>
      </w:r>
      <w:r>
        <w:t xml:space="preserve">Closed preference function 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rPr>
          <w:b/>
          <w:bCs/>
        </w:rPr>
        <w:t xml:space="preserve">(c) Directional (Sigmoid):</w:t>
      </w:r>
      <w:r>
        <w:t xml:space="preserve"> </w:t>
      </w:r>
      <w:r>
        <w:t xml:space="preserve">Open-ended preference 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exp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d>
          </m:e>
        </m:d>
      </m:oMath>
      <w:r>
        <w:t xml:space="preserve">.</w:t>
      </w:r>
      <w:r>
        <w:t xml:space="preserve"> </w:t>
      </w:r>
      <w:r>
        <w:rPr>
          <w:b/>
          <w:bCs/>
        </w:rPr>
        <w:t xml:space="preserve">(d) Disruptive (U-shaped):</w:t>
      </w:r>
      <w:r>
        <w:t xml:space="preserve"> </w:t>
      </w:r>
      <w:r>
        <w:t xml:space="preserve">Inverted Gaussian 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exp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, modeling active avoidance of the phenotypic mean.</w:t>
      </w:r>
      <w:r>
        <w:t xml:space="preserve"> </w:t>
      </w:r>
      <w:r>
        <w:t xml:space="preserve">If a female exhausted her assessment quota (</w:t>
      </w:r>
      <m:oMath>
        <m:sSub>
          <m:e>
            <m:r>
              <m:t>A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) without accepting a mate, she mated with the final encountered male to avert complete reproductive failure.</w:t>
      </w:r>
    </w:p>
    <w:p>
      <w:pPr>
        <w:pStyle w:val="BodyText"/>
      </w:pPr>
      <w:r>
        <w:rPr>
          <w:b/>
          <w:bCs/>
        </w:rPr>
        <w:t xml:space="preserve">2.4. Reproduction and Sexually Transmitted Disease (STD) Dynamics</w:t>
      </w:r>
      <w:r>
        <w:t xml:space="preserve"> </w:t>
      </w:r>
      <w:r>
        <w:t xml:space="preserve">Successful copulations formed a bipartite adjacency matrix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A female’s base reproductive output was proportional to her network degree (10 offspring per copulation).</w:t>
      </w:r>
      <w:r>
        <w:t xml:space="preserve"> </w:t>
      </w:r>
      <w:r>
        <w:t xml:space="preserve">Paternity for each offspring was assigned via a</w:t>
      </w:r>
      <w:r>
        <w:t xml:space="preserve"> </w:t>
      </w:r>
      <w:r>
        <w:t xml:space="preserve">“</w:t>
      </w:r>
      <w:r>
        <w:t xml:space="preserve">fair raffle</w:t>
      </w:r>
      <w:r>
        <w:t xml:space="preserve">”</w:t>
      </w:r>
      <w:r>
        <w:t xml:space="preserve"> </w:t>
      </w:r>
      <w:r>
        <w:t xml:space="preserve">sperm competition model among the female’s network partners.</w:t>
      </w:r>
    </w:p>
    <w:p>
      <w:pPr>
        <w:pStyle w:val="BodyText"/>
      </w:pPr>
      <w:r>
        <w:t xml:space="preserve">To evaluate the epidemiological vulnerability of the emergent networks (Phase 5), we introduced a sterilizing STD.</w:t>
      </w:r>
      <w:r>
        <w:t xml:space="preserve"> </w:t>
      </w:r>
      <w:r>
        <w:t xml:space="preserve">At generation 25 (post-burn-in), a single random male and female were infected (Patients Zero).</w:t>
      </w:r>
      <w:r>
        <w:t xml:space="preserve"> </w:t>
      </w:r>
      <w:r>
        <w:t xml:space="preserve">The pathogen spread strictly horizontally through the bipartite network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If a susceptible individual copulated with an infected partner, transmission occurred with probability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0.70</m:t>
        </m:r>
      </m:oMath>
      <w:r>
        <w:t xml:space="preserve">.</w:t>
      </w:r>
      <w:r>
        <w:t xml:space="preserve"> </w:t>
      </w:r>
      <w:r>
        <w:t xml:space="preserve">Infected individuals suffered a severe reproductive cost, suffering an offspring reduction penalty equivalent to an 80% loss in fecundity.</w:t>
      </w:r>
    </w:p>
    <w:p>
      <w:pPr>
        <w:pStyle w:val="BodyText"/>
      </w:pPr>
      <w:r>
        <w:t xml:space="preserve">To maintain population size, all offspring produced by the population were pooled, and density-independent random mortality was applied until exactly 400 individuals survived to form the next generation.</w:t>
      </w:r>
    </w:p>
    <w:p>
      <w:pPr>
        <w:pStyle w:val="BodyText"/>
      </w:pPr>
      <w:r>
        <w:rPr>
          <w:b/>
          <w:bCs/>
        </w:rPr>
        <w:t xml:space="preserve">2.5. Network Analysis and Sexual Selection Proxies</w:t>
      </w:r>
      <w:r>
        <w:t xml:space="preserve"> </w:t>
      </w:r>
      <w:r>
        <w:t xml:space="preserve">Using the valid matrices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generated each generation, we extracted four structural metrics using</w:t>
      </w:r>
      <w:r>
        <w:t xml:space="preserve"> </w:t>
      </w:r>
      <w:r>
        <w:rPr>
          <w:rStyle w:val="VerbatimChar"/>
        </w:rPr>
        <w:t xml:space="preserve">bipartite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igraph</w:t>
      </w:r>
      <w:r>
        <w:t xml:space="preserve"> </w:t>
      </w:r>
      <w:r>
        <w:t xml:space="preserve">in R:</w:t>
      </w:r>
      <w:r>
        <w:t xml:space="preserve"> </w:t>
      </w:r>
      <w:r>
        <w:rPr>
          <w:b/>
          <w:bCs/>
        </w:rPr>
        <w:t xml:space="preserve">(1) Opportunity for Sexual Selection (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): Variance in male degree divided by the squared mean male degree, quantifying reproductive skew.</w:t>
      </w:r>
      <w:r>
        <w:t xml:space="preserve"> </w:t>
      </w:r>
      <w:r>
        <w:rPr>
          <w:b/>
          <w:bCs/>
        </w:rPr>
        <w:t xml:space="preserve">(2) Nestedness (NODF):</w:t>
      </w:r>
      <w:r>
        <w:t xml:space="preserve"> </w:t>
      </w:r>
      <w:r>
        <w:t xml:space="preserve">Indicates a hierarchical structure where super-attractive</w:t>
      </w:r>
      <w:r>
        <w:t xml:space="preserve"> </w:t>
      </w:r>
      <w:r>
        <w:t xml:space="preserve">“</w:t>
      </w:r>
      <w:r>
        <w:t xml:space="preserve">hub</w:t>
      </w:r>
      <w:r>
        <w:t xml:space="preserve">”</w:t>
      </w:r>
      <w:r>
        <w:t xml:space="preserve"> </w:t>
      </w:r>
      <w:r>
        <w:t xml:space="preserve">males monopolize both choosy and generalist females.</w:t>
      </w:r>
      <w:r>
        <w:t xml:space="preserve"> </w:t>
      </w:r>
      <w:r>
        <w:rPr>
          <w:b/>
          <w:bCs/>
        </w:rPr>
        <w:t xml:space="preserve">(3) Modularity (Louvain):</w:t>
      </w:r>
      <w:r>
        <w:t xml:space="preserve"> </w:t>
      </w:r>
      <w:r>
        <w:t xml:space="preserve">Quantifies network fragmentation into isolated reproductive cliques (assortative mating).</w:t>
      </w:r>
      <w:r>
        <w:t xml:space="preserve"> </w:t>
      </w:r>
      <w:r>
        <w:t xml:space="preserve">We corroborated modular speciation by extracting the number of isolated components mathematically derived from the zero-eigenvalues of the network’s Laplacian matrix.</w:t>
      </w:r>
      <w:r>
        <w:t xml:space="preserve"> </w:t>
      </w:r>
      <w:r>
        <w:rPr>
          <w:b/>
          <w:bCs/>
        </w:rPr>
        <w:t xml:space="preserve">(4) Degree Centralization:</w:t>
      </w:r>
      <w:r>
        <w:t xml:space="preserve"> </w:t>
      </w:r>
      <w:r>
        <w:t xml:space="preserve">Measures the global monopolization of the network around a few central nodes.</w:t>
      </w:r>
    </w:p>
    <w:p>
      <w:pPr>
        <w:pStyle w:val="BodyText"/>
      </w:pPr>
      <w:r>
        <w:rPr>
          <w:b/>
          <w:bCs/>
        </w:rPr>
        <w:t xml:space="preserve">2.6. Experimental Design and Simulated Phases</w:t>
      </w:r>
      <w:r>
        <w:t xml:space="preserve"> </w:t>
      </w:r>
      <w:r>
        <w:t xml:space="preserve">We ran a fully crossed design tracking evolutionary trajectories (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t>a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) across 100 independent replicates per scenario over 50 generations.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Phase 1 (Baseline Topologies):</w:t>
      </w:r>
      <w:r>
        <w:t xml:space="preserve"> </w:t>
      </w:r>
      <w:r>
        <w:t xml:space="preserve">Contrasted Uniform vs. Gaussian preferences under equal phenotypic variance (</w:t>
      </w:r>
      <m:oMath>
        <m:sSub>
          <m:e>
            <m:r>
              <m:t>σ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) and optimal sampling (</w:t>
      </w:r>
      <m:oMath>
        <m:sSub>
          <m:e>
            <m:r>
              <m:t>A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200</m:t>
        </m:r>
      </m:oMath>
      <w:r>
        <w:t xml:space="preserve">) to establish the null rate of genetic variance depletion.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Phase 2 (Preference Variation and Tipping Points):</w:t>
      </w:r>
      <w:r>
        <w:t xml:space="preserve"> </w:t>
      </w:r>
      <w:r>
        <w:t xml:space="preserve">Evaluated a gradient of female preference variation (</w:t>
      </w:r>
      <m:oMath>
        <m:sSub>
          <m:e>
            <m:r>
              <m:t>σ</m:t>
            </m:r>
          </m:e>
          <m:sub>
            <m:r>
              <m:t>p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,</m:t>
        </m:r>
        <m:r>
          <m:t>1.2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}</m:t>
        </m:r>
      </m:oMath>
      <w:r>
        <w:t xml:space="preserve">) across Uniform and Gaussian regimes to detect the threshold where assortative modularity rescues genetic variance.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Phase 3 (Ecological Noise and Sampling Costs):</w:t>
      </w:r>
      <w:r>
        <w:t xml:space="preserve"> </w:t>
      </w:r>
      <w:r>
        <w:t xml:space="preserve">Fixed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and constrained sampling capacity (</w:t>
      </w:r>
      <m:oMath>
        <m:sSub>
          <m:e>
            <m:r>
              <m:t>A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20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}</m:t>
        </m:r>
      </m:oMath>
      <w:r>
        <w:t xml:space="preserve">) to test if modularity and evolutionary rescue collapse under ecological search costs.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Phase 4 (Topological Signatures of Selection):</w:t>
      </w:r>
      <w:r>
        <w:t xml:space="preserve"> </w:t>
      </w:r>
      <w:r>
        <w:t xml:space="preserve">Compared all four preference regimes simultaneously across the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gradient to map their distinct topological signatures (e.g., nestedness vs. modularity).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Phase 5 (Epidemiological Vulnerability):</w:t>
      </w:r>
      <w:r>
        <w:t xml:space="preserve"> </w:t>
      </w:r>
      <w:r>
        <w:t xml:space="preserve">Assessed the spread of the STD on the evolved networks (Gen 25–50) to test the hypothesis that nested networks (directional selection) act as super-spreaders, whereas highly modular networks (stabilizing/disruptive selection) provide topological quarantines, halting the pathogen.</w:t>
      </w:r>
    </w:p>
    <w:p>
      <w:pPr>
        <w:pStyle w:val="BodyText"/>
      </w:pPr>
      <w:r>
        <w:rPr>
          <w:b/>
          <w:bCs/>
        </w:rPr>
        <w:t xml:space="preserve">2.7. Statistical Analyses</w:t>
      </w:r>
      <w:r>
        <w:t xml:space="preserve"> </w:t>
      </w:r>
      <w:r>
        <w:t xml:space="preserve">To avoid transient dynamics during the initial structuring of the population, we discarded an initial burn-in period (Generations 1-20), determined by the asymptotic stabilization of network modularity.</w:t>
      </w:r>
      <w:r>
        <w:t xml:space="preserve"> </w:t>
      </w:r>
      <w:r>
        <w:t xml:space="preserve">When analyzing</w:t>
      </w:r>
      <w:r>
        <w:t xml:space="preserve"> </w:t>
      </w:r>
      <w:r>
        <w:t xml:space="preserve">“</w:t>
      </w:r>
      <w:r>
        <w:t xml:space="preserve">representative networks,</w:t>
      </w:r>
      <w:r>
        <w:t xml:space="preserve">”</w:t>
      </w:r>
      <w:r>
        <w:t xml:space="preserve"> </w:t>
      </w:r>
      <w:r>
        <w:t xml:space="preserve">we extracted the median population across replicates during the stable phase (Gen 21-50).</w:t>
      </w:r>
      <w:r>
        <w:t xml:space="preserve"> </w:t>
      </w:r>
      <w:r>
        <w:t xml:space="preserve">To prove causality between topology and evolution, cross-sectional linear regressions were performed at Generation 50.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Paper_JEB</dc:title>
  <dc:creator>Solimary</dc:creator>
  <cp:keywords/>
  <dcterms:created xsi:type="dcterms:W3CDTF">2026-05-09T23:59:24Z</dcterms:created>
  <dcterms:modified xsi:type="dcterms:W3CDTF">2026-05-09T23:59:24Z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2026-05-09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