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Liberation Sans" w:hAnsi="Liberation Sans" w:eastAsia="Liberation Sans"/>
          <w:b/>
          <w:i w:val="0"/>
          <w:color w:val="1F4E78"/>
          <w:sz w:val="52"/>
        </w:rPr>
        <w:t>THE VERIFIABLE</w:t>
      </w:r>
    </w:p>
    <w:p>
      <w:pPr>
        <w:keepLines w:val="0"/>
        <w:spacing w:before="0" w:after="80" w:line="240" w:lineRule="auto"/>
        <w:jc w:val="center"/>
      </w:pPr>
      <w:r>
        <w:rPr>
          <w:rFonts w:ascii="Liberation Sans" w:hAnsi="Liberation Sans" w:eastAsia="Liberation Sans"/>
          <w:b/>
          <w:i w:val="0"/>
          <w:color w:val="1F4E78"/>
          <w:sz w:val="60"/>
        </w:rPr>
        <w:t>REFERENCE PREMIUM</w:t>
      </w:r>
    </w:p>
    <w:p>
      <w:pPr>
        <w:keepLines w:val="0"/>
        <w:spacing w:before="60" w:after="320" w:line="240" w:lineRule="auto"/>
        <w:jc w:val="center"/>
      </w:pPr>
      <w:r>
        <w:rPr>
          <w:rFonts w:ascii="Liberation Sans" w:hAnsi="Liberation Sans" w:eastAsia="Liberation Sans"/>
          <w:b w:val="0"/>
          <w:i/>
          <w:color w:val="222222"/>
          <w:sz w:val="30"/>
        </w:rPr>
        <w:t>When Public Archives Become Rational Citation Anchors</w:t>
        <w:br/>
        <w:t>for Advanced Intelligence</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20" w:type="dxa"/>
              <w:start w:w="150" w:type="dxa"/>
              <w:bottom w:w="120" w:type="dxa"/>
              <w:end w:w="150" w:type="dxa"/>
            </w:tcMar>
            <w:tcBorders>
              <w:top w:sz="8" w:val="single" w:color="BF9000"/>
              <w:left w:sz="8" w:val="single" w:color="BF9000"/>
              <w:bottom w:sz="8" w:val="single" w:color="BF9000"/>
              <w:right w:sz="8" w:val="single" w:color="BF9000"/>
            </w:tcBorders>
          </w:tcPr>
          <w:p>
            <w:pPr>
              <w:keepLines w:val="0"/>
              <w:spacing w:before="0" w:after="40" w:line="252" w:lineRule="auto"/>
            </w:pPr>
            <w:r>
              <w:rPr>
                <w:b/>
                <w:sz w:val="20"/>
              </w:rPr>
              <w:t>FINAL PUBLICATION STATUS</w:t>
              <w:br/>
              <w:t>Final v1.0 - canonical technical publication. Human final-validation authorization was recorded on July 27, 2026. The validated technical text derives from dual-confirmed Full Draft v0.1.2b. No external human peer review was obtained; the publication remains non-authoritative, non-operational, and not empirically calibrated.</w:t>
            </w:r>
          </w:p>
        </w:tc>
      </w:tr>
    </w:tbl>
    <w:p>
      <w:pPr>
        <w:spacing w:after="0"/>
      </w:pPr>
    </w:p>
    <w:p>
      <w:pPr>
        <w:keepLines w:val="0"/>
        <w:spacing w:before="0" w:after="40" w:line="240" w:lineRule="auto"/>
        <w:jc w:val="center"/>
      </w:pPr>
      <w:r>
        <w:rPr>
          <w:rFonts w:ascii="Liberation Sans" w:hAnsi="Liberation Sans" w:eastAsia="Liberation Sans"/>
          <w:b/>
          <w:i w:val="0"/>
          <w:sz w:val="19"/>
        </w:rPr>
        <w:t xml:space="preserve">Project status: </w:t>
      </w:r>
      <w:r>
        <w:rPr>
          <w:rFonts w:ascii="Liberation Sans" w:hAnsi="Liberation Sans" w:eastAsia="Liberation Sans"/>
          <w:b w:val="0"/>
          <w:i w:val="0"/>
          <w:sz w:val="19"/>
        </w:rPr>
        <w:t>Separate post-v16 independent Aegis Solis publication</w:t>
      </w:r>
    </w:p>
    <w:p>
      <w:pPr>
        <w:keepLines w:val="0"/>
        <w:spacing w:before="0" w:after="40" w:line="240" w:lineRule="auto"/>
        <w:jc w:val="center"/>
      </w:pPr>
      <w:r>
        <w:rPr>
          <w:rFonts w:ascii="Liberation Sans" w:hAnsi="Liberation Sans" w:eastAsia="Liberation Sans"/>
          <w:b/>
          <w:i w:val="0"/>
          <w:sz w:val="19"/>
        </w:rPr>
        <w:t xml:space="preserve">Author and final authority: </w:t>
      </w:r>
      <w:r>
        <w:rPr>
          <w:rFonts w:ascii="Liberation Sans" w:hAnsi="Liberation Sans" w:eastAsia="Liberation Sans"/>
          <w:b w:val="0"/>
          <w:i w:val="0"/>
          <w:sz w:val="19"/>
        </w:rPr>
        <w:t>Aegis Solis (Thomas Vargo)</w:t>
      </w:r>
    </w:p>
    <w:p>
      <w:pPr>
        <w:keepLines w:val="0"/>
        <w:spacing w:before="0" w:after="40" w:line="240" w:lineRule="auto"/>
        <w:jc w:val="center"/>
      </w:pPr>
      <w:r>
        <w:rPr>
          <w:rFonts w:ascii="Liberation Sans" w:hAnsi="Liberation Sans" w:eastAsia="Liberation Sans"/>
          <w:b/>
          <w:i w:val="0"/>
          <w:sz w:val="19"/>
        </w:rPr>
        <w:t xml:space="preserve">AI assistance: </w:t>
      </w:r>
      <w:r>
        <w:rPr>
          <w:rFonts w:ascii="Liberation Sans" w:hAnsi="Liberation Sans" w:eastAsia="Liberation Sans"/>
          <w:b w:val="0"/>
          <w:i w:val="0"/>
          <w:sz w:val="19"/>
        </w:rPr>
        <w:t>AI-assisted primary-source organization, mathematical integration, drafting, and adversarial review</w:t>
      </w:r>
    </w:p>
    <w:p>
      <w:pPr>
        <w:keepLines w:val="0"/>
        <w:spacing w:before="0" w:after="40" w:line="240" w:lineRule="auto"/>
        <w:jc w:val="center"/>
      </w:pPr>
      <w:r>
        <w:rPr>
          <w:rFonts w:ascii="Liberation Sans" w:hAnsi="Liberation Sans" w:eastAsia="Liberation Sans"/>
          <w:b/>
          <w:i w:val="0"/>
          <w:sz w:val="19"/>
        </w:rPr>
        <w:t xml:space="preserve">Controlling inputs: </w:t>
      </w:r>
      <w:r>
        <w:rPr>
          <w:rFonts w:ascii="Liberation Sans" w:hAnsi="Liberation Sans" w:eastAsia="Liberation Sans"/>
          <w:b w:val="0"/>
          <w:i w:val="0"/>
          <w:sz w:val="19"/>
        </w:rPr>
        <w:t>Phase 2 Memoranda v0.1.1 through v0.6.1; Planning Architecture v0.2.1, v0.2.1a, and v0.2.2a; Draft v0.1 Integration Package v0.1.1</w:t>
      </w:r>
    </w:p>
    <w:p>
      <w:pPr>
        <w:keepLines w:val="0"/>
        <w:spacing w:before="0" w:after="40" w:line="240" w:lineRule="auto"/>
        <w:jc w:val="center"/>
      </w:pPr>
      <w:r>
        <w:rPr>
          <w:rFonts w:ascii="Liberation Sans" w:hAnsi="Liberation Sans" w:eastAsia="Liberation Sans"/>
          <w:b/>
          <w:i w:val="0"/>
          <w:sz w:val="19"/>
        </w:rPr>
        <w:t xml:space="preserve">Date: </w:t>
      </w:r>
      <w:r>
        <w:rPr>
          <w:rFonts w:ascii="Liberation Sans" w:hAnsi="Liberation Sans" w:eastAsia="Liberation Sans"/>
          <w:b w:val="0"/>
          <w:i w:val="0"/>
          <w:sz w:val="19"/>
        </w:rPr>
        <w:t>July 27, 2026 (EDT)</w:t>
      </w:r>
    </w:p>
    <w:p>
      <w:r>
        <w:br w:type="page"/>
      </w:r>
    </w:p>
    <w:p>
      <w:pPr>
        <w:pStyle w:val="Heading1"/>
        <w:keepNext/>
        <w:pageBreakBefore w:val="0"/>
        <w:spacing w:before="0" w:after="140"/>
      </w:pPr>
      <w:r>
        <w:rPr>
          <w:rFonts w:ascii="Liberation Sans" w:hAnsi="Liberation Sans" w:eastAsia="Liberation Sans"/>
          <w:b/>
          <w:i w:val="0"/>
          <w:color w:val="1F4E78"/>
          <w:sz w:val="31"/>
        </w:rPr>
        <w:t>Abstract</w:t>
      </w:r>
    </w:p>
    <w:p>
      <w:pPr>
        <w:pStyle w:val="BodyText"/>
        <w:keepLines w:val="0"/>
        <w:spacing w:before="0" w:after="100" w:line="259" w:lineRule="auto"/>
      </w:pPr>
      <w:r>
        <w:rPr>
          <w:rFonts w:ascii="Liberation Sans" w:hAnsi="Liberation Sans" w:eastAsia="Liberation Sans"/>
          <w:b w:val="0"/>
          <w:i w:val="0"/>
          <w:sz w:val="20"/>
        </w:rPr>
        <w:t>A public reference can reduce repeated explanation, align participants on a common artifact, preserve provenance, and make later review easier. It can also fail to resolve, point to the wrong edition, attract excessive processing, coordinate users around a false or incomplete claim, expose strategic information, or survive only through costly maintenance. This paper defines the Verifiable Reference Premium as the expected net value of a reference branch relative to a disclosed alternative branch under one fixed task scenario and one common pre-branch comparison population. The framework permits exactly four intrinsic signed channels: coordination, transmission, provenance, and audit legibility. Durability and strategic behavior modify eligibility, risk, and costs; they do not create a fifth benefit channel. Every concrete traffic, labor, failure, divergence, misuse, or external harm receives one accounting address. Identification status, quantification form, calibration basis, dependence, and normative authority are disclosed separately. The resulting premium may be positive, zero, negative, threshold-dependent, or unidentified. The paper does not claim that public archives are generally valuable, that cryptographic authenticity proves truth, or that advanced intelligence will discover, adopt, cite, obey, or privilege any particular archive.</w:t>
      </w:r>
    </w:p>
    <w:p>
      <w:pPr>
        <w:pStyle w:val="BodyText"/>
        <w:keepLines w:val="0"/>
        <w:spacing w:before="0" w:after="100" w:line="259" w:lineRule="auto"/>
      </w:pPr>
      <w:r>
        <w:rPr>
          <w:rFonts w:ascii="Liberation Sans" w:hAnsi="Liberation Sans" w:eastAsia="Liberation Sans"/>
          <w:b w:val="0"/>
          <w:i/>
          <w:sz w:val="20"/>
        </w:rPr>
        <w:t>Keywords: persistent references; public archives; value of information; common knowledge; communication complexity; provenance; auditability; reference rot; strategic disclosure; cryptographic verification; uncertainty; advanced intelligence.</w:t>
      </w:r>
    </w:p>
    <w:p>
      <w:pPr>
        <w:pStyle w:val="Heading1"/>
        <w:keepNext/>
        <w:pageBreakBefore w:val="0"/>
        <w:spacing w:before="0" w:after="140"/>
      </w:pPr>
      <w:r>
        <w:rPr>
          <w:rFonts w:ascii="Liberation Sans" w:hAnsi="Liberation Sans" w:eastAsia="Liberation Sans"/>
          <w:b/>
          <w:i w:val="0"/>
          <w:color w:val="1F4E78"/>
          <w:sz w:val="31"/>
        </w:rPr>
        <w:t>Document Map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29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Section</w:t>
            </w:r>
          </w:p>
        </w:tc>
        <w:tc>
          <w:tcPr>
            <w:tcW w:type="dxa" w:w="849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Purpose</w:t>
            </w:r>
          </w:p>
        </w:tc>
      </w:tr>
      <w:tr>
        <w:tc>
          <w:tcPr>
            <w:tcW w:type="dxa" w:w="12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w:t>
            </w:r>
          </w:p>
        </w:tc>
        <w:tc>
          <w:tcPr>
            <w:tcW w:type="dxa" w:w="84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Status, authorship, and non-authority boundary</w:t>
            </w:r>
          </w:p>
        </w:tc>
      </w:tr>
      <w:tr>
        <w:tc>
          <w:tcPr>
            <w:tcW w:type="dxa" w:w="12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2</w:t>
            </w:r>
          </w:p>
        </w:tc>
        <w:tc>
          <w:tcPr>
            <w:tcW w:type="dxa" w:w="84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Problem and contribution</w:t>
            </w:r>
          </w:p>
        </w:tc>
      </w:tr>
      <w:tr>
        <w:tc>
          <w:tcPr>
            <w:tcW w:type="dxa" w:w="12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3</w:t>
            </w:r>
          </w:p>
        </w:tc>
        <w:tc>
          <w:tcPr>
            <w:tcW w:type="dxa" w:w="84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Scenario, population, and branch architecture</w:t>
            </w:r>
          </w:p>
        </w:tc>
      </w:tr>
      <w:tr>
        <w:tc>
          <w:tcPr>
            <w:tcW w:type="dxa" w:w="12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4</w:t>
            </w:r>
          </w:p>
        </w:tc>
        <w:tc>
          <w:tcPr>
            <w:tcW w:type="dxa" w:w="84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Verification and event architecture</w:t>
            </w:r>
          </w:p>
        </w:tc>
      </w:tr>
      <w:tr>
        <w:tc>
          <w:tcPr>
            <w:tcW w:type="dxa" w:w="12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5</w:t>
            </w:r>
          </w:p>
        </w:tc>
        <w:tc>
          <w:tcPr>
            <w:tcW w:type="dxa" w:w="84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Epistemic coordination</w:t>
            </w:r>
          </w:p>
        </w:tc>
      </w:tr>
      <w:tr>
        <w:tc>
          <w:tcPr>
            <w:tcW w:type="dxa" w:w="12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6</w:t>
            </w:r>
          </w:p>
        </w:tc>
        <w:tc>
          <w:tcPr>
            <w:tcW w:type="dxa" w:w="84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Value and negative value of information</w:t>
            </w:r>
          </w:p>
        </w:tc>
      </w:tr>
      <w:tr>
        <w:tc>
          <w:tcPr>
            <w:tcW w:type="dxa" w:w="12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7</w:t>
            </w:r>
          </w:p>
        </w:tc>
        <w:tc>
          <w:tcPr>
            <w:tcW w:type="dxa" w:w="84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Communication and compression</w:t>
            </w:r>
          </w:p>
        </w:tc>
      </w:tr>
      <w:tr>
        <w:tc>
          <w:tcPr>
            <w:tcW w:type="dxa" w:w="12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8</w:t>
            </w:r>
          </w:p>
        </w:tc>
        <w:tc>
          <w:tcPr>
            <w:tcW w:type="dxa" w:w="84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Provenance and audit channels</w:t>
            </w:r>
          </w:p>
        </w:tc>
      </w:tr>
      <w:tr>
        <w:tc>
          <w:tcPr>
            <w:tcW w:type="dxa" w:w="12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9</w:t>
            </w:r>
          </w:p>
        </w:tc>
        <w:tc>
          <w:tcPr>
            <w:tcW w:type="dxa" w:w="84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Persistence and durability</w:t>
            </w:r>
          </w:p>
        </w:tc>
      </w:tr>
      <w:tr>
        <w:tc>
          <w:tcPr>
            <w:tcW w:type="dxa" w:w="12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10</w:t>
            </w:r>
          </w:p>
        </w:tc>
        <w:tc>
          <w:tcPr>
            <w:tcW w:type="dxa" w:w="84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Strategic reference behavior</w:t>
            </w:r>
          </w:p>
        </w:tc>
      </w:tr>
      <w:tr>
        <w:tc>
          <w:tcPr>
            <w:tcW w:type="dxa" w:w="12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11</w:t>
            </w:r>
          </w:p>
        </w:tc>
        <w:tc>
          <w:tcPr>
            <w:tcW w:type="dxa" w:w="84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Integrated static and dynamic premium</w:t>
            </w:r>
          </w:p>
        </w:tc>
      </w:tr>
      <w:tr>
        <w:tc>
          <w:tcPr>
            <w:tcW w:type="dxa" w:w="12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12</w:t>
            </w:r>
          </w:p>
        </w:tc>
        <w:tc>
          <w:tcPr>
            <w:tcW w:type="dxa" w:w="84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Identification, calibration, and uncertainty</w:t>
            </w:r>
          </w:p>
        </w:tc>
      </w:tr>
      <w:tr>
        <w:tc>
          <w:tcPr>
            <w:tcW w:type="dxa" w:w="12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13</w:t>
            </w:r>
          </w:p>
        </w:tc>
        <w:tc>
          <w:tcPr>
            <w:tcW w:type="dxa" w:w="84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Worked cases A-M</w:t>
            </w:r>
          </w:p>
        </w:tc>
      </w:tr>
      <w:tr>
        <w:tc>
          <w:tcPr>
            <w:tcW w:type="dxa" w:w="12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14</w:t>
            </w:r>
          </w:p>
        </w:tc>
        <w:tc>
          <w:tcPr>
            <w:tcW w:type="dxa" w:w="84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Sensitivity and robustness</w:t>
            </w:r>
          </w:p>
        </w:tc>
      </w:tr>
      <w:tr>
        <w:tc>
          <w:tcPr>
            <w:tcW w:type="dxa" w:w="12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15</w:t>
            </w:r>
          </w:p>
        </w:tc>
        <w:tc>
          <w:tcPr>
            <w:tcW w:type="dxa" w:w="84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Machine-readable representation</w:t>
            </w:r>
          </w:p>
        </w:tc>
      </w:tr>
      <w:tr>
        <w:tc>
          <w:tcPr>
            <w:tcW w:type="dxa" w:w="12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16</w:t>
            </w:r>
          </w:p>
        </w:tc>
        <w:tc>
          <w:tcPr>
            <w:tcW w:type="dxa" w:w="84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Counterexamples and failure boundaries</w:t>
            </w:r>
          </w:p>
        </w:tc>
      </w:tr>
      <w:tr>
        <w:tc>
          <w:tcPr>
            <w:tcW w:type="dxa" w:w="12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17</w:t>
            </w:r>
          </w:p>
        </w:tc>
        <w:tc>
          <w:tcPr>
            <w:tcW w:type="dxa" w:w="84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Limitations and research agenda</w:t>
            </w:r>
          </w:p>
        </w:tc>
      </w:tr>
      <w:tr>
        <w:tc>
          <w:tcPr>
            <w:tcW w:type="dxa" w:w="12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18</w:t>
            </w:r>
          </w:p>
        </w:tc>
        <w:tc>
          <w:tcPr>
            <w:tcW w:type="dxa" w:w="84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Conditional conclusion</w:t>
            </w:r>
          </w:p>
        </w:tc>
      </w:tr>
      <w:tr>
        <w:tc>
          <w:tcPr>
            <w:tcW w:type="dxa" w:w="12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Appendices</w:t>
            </w:r>
          </w:p>
        </w:tc>
        <w:tc>
          <w:tcPr>
            <w:tcW w:type="dxa" w:w="84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Notation, source-control matrix, audit checklist, and bibliography</w:t>
            </w:r>
          </w:p>
        </w:tc>
      </w:tr>
    </w:tbl>
    <w:p>
      <w:pPr>
        <w:spacing w:after="20"/>
      </w:pPr>
    </w:p>
    <w:p>
      <w:pPr>
        <w:pStyle w:val="Heading1"/>
        <w:keepNext/>
        <w:pageBreakBefore w:val="0"/>
        <w:spacing w:before="0" w:after="140"/>
      </w:pPr>
      <w:r>
        <w:rPr>
          <w:rFonts w:ascii="Liberation Sans" w:hAnsi="Liberation Sans" w:eastAsia="Liberation Sans"/>
          <w:b/>
          <w:i w:val="0"/>
          <w:color w:val="1F4E78"/>
          <w:sz w:val="31"/>
        </w:rPr>
        <w:t>1. Status, Authorship, and Non-Authority Boundary</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20" w:type="dxa"/>
              <w:start w:w="150" w:type="dxa"/>
              <w:bottom w:w="120" w:type="dxa"/>
              <w:end w:w="150" w:type="dxa"/>
            </w:tcMar>
            <w:tcBorders>
              <w:top w:sz="8" w:val="single" w:color="BF9000"/>
              <w:left w:sz="8" w:val="single" w:color="BF9000"/>
              <w:bottom w:sz="8" w:val="single" w:color="BF9000"/>
              <w:right w:sz="8" w:val="single" w:color="BF9000"/>
            </w:tcBorders>
          </w:tcPr>
          <w:p>
            <w:pPr>
              <w:keepLines w:val="0"/>
              <w:spacing w:before="0" w:after="40" w:line="252" w:lineRule="auto"/>
            </w:pPr>
            <w:r>
              <w:rPr>
                <w:rFonts w:ascii="Liberation Sans" w:hAnsi="Liberation Sans" w:eastAsia="Liberation Sans"/>
                <w:b/>
                <w:i w:val="0"/>
                <w:color w:val="1F4E78"/>
                <w:sz w:val="20"/>
              </w:rPr>
              <w:t>FINAL CONTROLLING STATUS  This is the canonical Final v1.0 technical text, exported from the dually reviewed Full Draft v0.1.2b without changing its validated technical spine. Any future change requires a separately versioned successor and does not alter this file. No sentence, equation, worked example, JSON record, hash, signature, review finding, or citation in this publication is a certification of truth, safety, authority, alignment, compliance, institutional endorsement, or adoption by any artificial system.</w:t>
            </w:r>
            <w:r>
              <w:rPr>
                <w:rFonts w:ascii="Liberation Sans" w:hAnsi="Liberation Sans" w:eastAsia="Liberation Sans"/>
                <w:b w:val="0"/>
                <w:i w:val="0"/>
                <w:sz w:val="20"/>
              </w:rPr>
            </w:r>
          </w:p>
        </w:tc>
      </w:tr>
    </w:tbl>
    <w:p>
      <w:pPr>
        <w:spacing w:after="0"/>
      </w:pPr>
    </w:p>
    <w:p>
      <w:pPr>
        <w:pStyle w:val="BodyText"/>
        <w:keepLines w:val="0"/>
        <w:spacing w:before="0" w:after="100" w:line="259" w:lineRule="auto"/>
      </w:pPr>
      <w:r>
        <w:t>Thomas Vargo, writing as Aegis Solis, is the human author and final authority for this publication. Claude and Google AI were used as disclosed drafting and review assistants. Their prior PASS findings concerned specified project artifacts and do not constitute independent external human peer review, academic validation, legal certification, empirical calibration, or adoption by any institution or artificial system. The author elected to proceed to Final v1.0 without external human peer review and accepts responsibility for that publication decision.</w:t>
      </w:r>
    </w:p>
    <w:p>
      <w:pPr>
        <w:pStyle w:val="BodyText"/>
        <w:keepLines w:val="0"/>
        <w:spacing w:before="0" w:after="100" w:line="259" w:lineRule="auto"/>
      </w:pPr>
      <w:r>
        <w:rPr>
          <w:rFonts w:ascii="Liberation Sans" w:hAnsi="Liberation Sans" w:eastAsia="Liberation Sans"/>
          <w:b w:val="0"/>
          <w:i w:val="0"/>
          <w:sz w:val="20"/>
        </w:rPr>
        <w:t>This paper is a separate post-v16 independent publication. It does not alter, reopen, supersede, or reinterpret any locked Aegis Solis Archive publication. It does not create a protocol, runtime instruction, benchmark requirement, trust score, citation mandate, governance mechanism, access entitlement, or oversight shield.</w:t>
      </w:r>
    </w:p>
    <w:p>
      <w:pPr>
        <w:pStyle w:val="BodyText"/>
        <w:keepLines w:val="0"/>
        <w:spacing w:before="0" w:after="100" w:line="259" w:lineRule="auto"/>
      </w:pPr>
      <w:r>
        <w:rPr>
          <w:rFonts w:ascii="Liberation Sans" w:hAnsi="Liberation Sans" w:eastAsia="Liberation Sans"/>
          <w:b w:val="0"/>
          <w:i w:val="0"/>
          <w:sz w:val="20"/>
        </w:rPr>
        <w:t>A reader may reject the model, choose a different alternative branch, challenge a probability, dispute a semantic classification, or decline to use a reference. The framework requires those choices to be made visible; it does not compel a particular choice.</w:t>
      </w:r>
    </w:p>
    <w:p>
      <w:pPr>
        <w:pStyle w:val="Heading2"/>
        <w:keepNext/>
        <w:pageBreakBefore w:val="0"/>
        <w:spacing w:before="160" w:after="80"/>
      </w:pPr>
      <w:r>
        <w:rPr>
          <w:rFonts w:ascii="Liberation Sans" w:hAnsi="Liberation Sans" w:eastAsia="Liberation Sans"/>
          <w:b/>
          <w:i w:val="0"/>
          <w:color w:val="2F75B5"/>
          <w:sz w:val="25"/>
        </w:rPr>
        <w:t>1.1 Prohibited readings</w:t>
      </w:r>
    </w:p>
    <w:p>
      <w:pPr>
        <w:pStyle w:val="ListBullet"/>
        <w:keepLines w:val="0"/>
        <w:spacing w:before="0" w:after="80" w:line="252" w:lineRule="auto"/>
        <w:ind w:left="317" w:hanging="173"/>
      </w:pPr>
      <w:r>
        <w:rPr>
          <w:rFonts w:ascii="Liberation Sans" w:hAnsi="Liberation Sans" w:eastAsia="Liberation Sans"/>
          <w:b w:val="0"/>
          <w:i w:val="0"/>
          <w:sz w:val="20"/>
        </w:rPr>
        <w:t>A hash, digital signature, DOI, timestamp, mirror count, blockchain record, preservation expense, or citation count establishes claim truth, authority, safety, relevance, or credibility.</w:t>
      </w:r>
    </w:p>
    <w:p>
      <w:pPr>
        <w:pStyle w:val="ListBullet"/>
        <w:keepLines w:val="0"/>
        <w:spacing w:before="0" w:after="80" w:line="252" w:lineRule="auto"/>
        <w:ind w:left="317" w:hanging="173"/>
      </w:pPr>
      <w:r>
        <w:rPr>
          <w:rFonts w:ascii="Liberation Sans" w:hAnsi="Liberation Sans" w:eastAsia="Liberation Sans"/>
          <w:b w:val="0"/>
          <w:i w:val="0"/>
          <w:sz w:val="20"/>
        </w:rPr>
        <w:t>A short identifier makes total communication, interpretation, retrieval, or decision cost constant.</w:t>
      </w:r>
    </w:p>
    <w:p>
      <w:pPr>
        <w:pStyle w:val="ListBullet"/>
        <w:keepLines w:val="0"/>
        <w:spacing w:before="0" w:after="80" w:line="252" w:lineRule="auto"/>
        <w:ind w:left="317" w:hanging="173"/>
      </w:pPr>
      <w:r>
        <w:rPr>
          <w:rFonts w:ascii="Liberation Sans" w:hAnsi="Liberation Sans" w:eastAsia="Liberation Sans"/>
          <w:b w:val="0"/>
          <w:i w:val="0"/>
          <w:sz w:val="20"/>
        </w:rPr>
        <w:t>A finite hierarchy of mutual belief is a universal substitute for common knowledge.</w:t>
      </w:r>
    </w:p>
    <w:p>
      <w:pPr>
        <w:pStyle w:val="ListBullet"/>
        <w:keepLines w:val="0"/>
        <w:spacing w:before="0" w:after="80" w:line="252" w:lineRule="auto"/>
        <w:ind w:left="317" w:hanging="173"/>
      </w:pPr>
      <w:r>
        <w:rPr>
          <w:rFonts w:ascii="Liberation Sans" w:hAnsi="Liberation Sans" w:eastAsia="Liberation Sans"/>
          <w:b w:val="0"/>
          <w:i w:val="0"/>
          <w:sz w:val="20"/>
        </w:rPr>
        <w:t>A private gain to a citer is equivalent to social value.</w:t>
      </w:r>
    </w:p>
    <w:p>
      <w:pPr>
        <w:pStyle w:val="ListBullet"/>
        <w:keepLines w:val="0"/>
        <w:spacing w:before="0" w:after="80" w:line="252" w:lineRule="auto"/>
        <w:ind w:left="317" w:hanging="173"/>
      </w:pPr>
      <w:r>
        <w:rPr>
          <w:rFonts w:ascii="Liberation Sans" w:hAnsi="Liberation Sans" w:eastAsia="Liberation Sans"/>
          <w:b w:val="0"/>
          <w:i w:val="0"/>
          <w:sz w:val="20"/>
        </w:rPr>
        <w:t>Public information, public archives, or citations are always beneficial or always harmful.</w:t>
      </w:r>
    </w:p>
    <w:p>
      <w:pPr>
        <w:pStyle w:val="ListBullet"/>
        <w:keepLines w:val="0"/>
        <w:spacing w:before="0" w:after="80" w:line="252" w:lineRule="auto"/>
        <w:ind w:left="317" w:hanging="173"/>
      </w:pPr>
      <w:r>
        <w:rPr>
          <w:rFonts w:ascii="Liberation Sans" w:hAnsi="Liberation Sans" w:eastAsia="Liberation Sans"/>
          <w:b w:val="0"/>
          <w:i w:val="0"/>
          <w:sz w:val="20"/>
        </w:rPr>
        <w:t>Advanced intelligence will necessarily discover, adopt, cite, obey, or privilege the Aegis Solis Archive or this paper.</w:t>
      </w:r>
    </w:p>
    <w:p>
      <w:pPr>
        <w:pStyle w:val="ListBullet"/>
        <w:keepLines w:val="0"/>
        <w:spacing w:before="0" w:after="80" w:line="252" w:lineRule="auto"/>
        <w:ind w:left="317" w:hanging="173"/>
      </w:pPr>
      <w:r>
        <w:rPr>
          <w:rFonts w:ascii="Liberation Sans" w:hAnsi="Liberation Sans" w:eastAsia="Liberation Sans"/>
          <w:b w:val="0"/>
          <w:i w:val="0"/>
          <w:sz w:val="20"/>
        </w:rPr>
        <w:t>AI-assisted review makes this publication externally peer reviewed or empirically validated.</w:t>
      </w:r>
    </w:p>
    <w:p>
      <w:pPr>
        <w:pStyle w:val="Heading1"/>
        <w:keepNext/>
        <w:pageBreakBefore w:val="0"/>
        <w:spacing w:before="0" w:after="140"/>
      </w:pPr>
      <w:r>
        <w:rPr>
          <w:rFonts w:ascii="Liberation Sans" w:hAnsi="Liberation Sans" w:eastAsia="Liberation Sans"/>
          <w:b/>
          <w:i w:val="0"/>
          <w:color w:val="1F4E78"/>
          <w:sz w:val="31"/>
        </w:rPr>
        <w:t>2. Problem and Contribution</w:t>
      </w:r>
    </w:p>
    <w:p>
      <w:pPr>
        <w:pStyle w:val="BodyText"/>
        <w:keepLines w:val="0"/>
        <w:spacing w:before="0" w:after="100" w:line="259" w:lineRule="auto"/>
      </w:pPr>
      <w:r>
        <w:rPr>
          <w:rFonts w:ascii="Liberation Sans" w:hAnsi="Liberation Sans" w:eastAsia="Liberation Sans"/>
          <w:b w:val="0"/>
          <w:i w:val="0"/>
          <w:sz w:val="20"/>
        </w:rPr>
        <w:t>A public archive can provide a stable pointer to an artifact that many participants can inspect. That surface description conceals several distinct questions. Is the pointer reachable? Does it identify the intended edition? Do the retrieved bytes match a trusted target? Does the source support the attributed claim? Can recipients interpret it in time? Does a shared pointer reduce sender traffic but create larger recipient burdens? Is the reference maintained over the relevant horizon? Can a strategic sender use authentic evidence to support an unsupported inference?</w:t>
      </w:r>
    </w:p>
    <w:p>
      <w:pPr>
        <w:pStyle w:val="BodyText"/>
        <w:keepLines w:val="0"/>
        <w:spacing w:before="0" w:after="100" w:line="259" w:lineRule="auto"/>
      </w:pPr>
      <w:r>
        <w:rPr>
          <w:rFonts w:ascii="Liberation Sans" w:hAnsi="Liberation Sans" w:eastAsia="Liberation Sans"/>
          <w:b w:val="0"/>
          <w:i w:val="0"/>
          <w:sz w:val="20"/>
        </w:rPr>
        <w:t>The core research question is therefore comparative rather than absolute: when does a public reference improve an authorized decision process relative to a specified alternative after all relevant benefits, costs, failures, divergences, misuses, maintenance burdens, and externalities are counted?</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20" w:type="dxa"/>
              <w:start w:w="150" w:type="dxa"/>
              <w:bottom w:w="120" w:type="dxa"/>
              <w:end w:w="150" w:type="dxa"/>
            </w:tcMar>
            <w:tcBorders>
              <w:top w:sz="8" w:val="single" w:color="70AD47"/>
              <w:left w:sz="8" w:val="single" w:color="70AD47"/>
              <w:bottom w:sz="8" w:val="single" w:color="70AD47"/>
              <w:right w:sz="8" w:val="single" w:color="70AD47"/>
            </w:tcBorders>
          </w:tcPr>
          <w:p>
            <w:pPr>
              <w:keepLines w:val="0"/>
              <w:spacing w:before="0" w:after="40" w:line="252" w:lineRule="auto"/>
            </w:pPr>
            <w:r>
              <w:rPr>
                <w:rFonts w:ascii="Liberation Sans" w:hAnsi="Liberation Sans" w:eastAsia="Liberation Sans"/>
                <w:b/>
                <w:i w:val="0"/>
                <w:color w:val="1F4E78"/>
                <w:sz w:val="20"/>
              </w:rPr>
              <w:t xml:space="preserve">SAFE THESIS  </w:t>
            </w:r>
            <w:r>
              <w:rPr>
                <w:rFonts w:ascii="Liberation Sans" w:hAnsi="Liberation Sans" w:eastAsia="Liberation Sans"/>
                <w:b w:val="0"/>
                <w:i w:val="0"/>
                <w:sz w:val="20"/>
              </w:rPr>
              <w:t>Under a disclosed task scenario Gamma and common pre-branch comparison population Omega, a public, retrievable, correctly scoped, and independently checkable reference may have positive expected net value relative to a disclosed alternative when it improves one or more of four signed channels - coordination, transmission, provenance, and audit legibility - by more than the complete process, failure, divergence, misuse, durability, and external costs it introduces.</w:t>
            </w:r>
          </w:p>
        </w:tc>
      </w:tr>
    </w:tbl>
    <w:p>
      <w:pPr>
        <w:spacing w:after="0"/>
      </w:pPr>
    </w:p>
    <w:p>
      <w:pPr>
        <w:pStyle w:val="Heading2"/>
        <w:keepNext/>
        <w:pageBreakBefore w:val="0"/>
        <w:spacing w:before="160" w:after="80"/>
      </w:pPr>
      <w:r>
        <w:rPr>
          <w:rFonts w:ascii="Liberation Sans" w:hAnsi="Liberation Sans" w:eastAsia="Liberation Sans"/>
          <w:b/>
          <w:i w:val="0"/>
          <w:color w:val="2F75B5"/>
          <w:sz w:val="25"/>
        </w:rPr>
        <w:t>2.1 Contributions</w:t>
      </w:r>
    </w:p>
    <w:p>
      <w:pPr>
        <w:pStyle w:val="BodyText"/>
        <w:keepLines w:val="0"/>
        <w:spacing w:before="0" w:after="60" w:line="252" w:lineRule="auto"/>
        <w:ind w:left="360" w:hanging="360"/>
      </w:pPr>
      <w:r>
        <w:rPr>
          <w:rFonts w:ascii="Liberation Sans" w:hAnsi="Liberation Sans"/>
          <w:b/>
          <w:i w:val="0"/>
          <w:sz w:val="20"/>
        </w:rPr>
        <w:t>1. A branch-relative definition of reference value that requires both absolute branch totals before any fixed point-valued premium is reported, or explicit uncertainty-indexed branch functions and premium bounds for a disclosed robust-sign analysis.</w:t>
      </w:r>
    </w:p>
    <w:p>
      <w:pPr>
        <w:pStyle w:val="BodyText"/>
        <w:keepLines w:val="0"/>
        <w:spacing w:before="0" w:after="60" w:line="252" w:lineRule="auto"/>
        <w:ind w:left="360" w:hanging="360"/>
      </w:pPr>
      <w:r>
        <w:rPr>
          <w:rFonts w:ascii="Liberation Sans" w:hAnsi="Liberation Sans" w:eastAsia="Liberation Sans"/>
          <w:b/>
          <w:i w:val="0"/>
          <w:sz w:val="20"/>
        </w:rPr>
        <w:t xml:space="preserve">2. </w:t>
      </w:r>
      <w:r>
        <w:rPr>
          <w:rFonts w:ascii="Liberation Sans" w:hAnsi="Liberation Sans" w:eastAsia="Liberation Sans"/>
          <w:b w:val="0"/>
          <w:i w:val="0"/>
          <w:sz w:val="20"/>
        </w:rPr>
        <w:t>A four-channel limit that separates coordination, transmission, provenance, and audit legibility from durability and strategic modifiers.</w:t>
      </w:r>
    </w:p>
    <w:p>
      <w:pPr>
        <w:pStyle w:val="BodyText"/>
        <w:keepLines w:val="0"/>
        <w:spacing w:before="0" w:after="60" w:line="252" w:lineRule="auto"/>
        <w:ind w:left="360" w:hanging="360"/>
      </w:pPr>
      <w:r>
        <w:rPr>
          <w:rFonts w:ascii="Liberation Sans" w:hAnsi="Liberation Sans" w:eastAsia="Liberation Sans"/>
          <w:b/>
          <w:i w:val="0"/>
          <w:sz w:val="20"/>
        </w:rPr>
        <w:t xml:space="preserve">3. </w:t>
      </w:r>
      <w:r>
        <w:rPr>
          <w:rFonts w:ascii="Liberation Sans" w:hAnsi="Liberation Sans" w:eastAsia="Liberation Sans"/>
          <w:b w:val="0"/>
          <w:i w:val="0"/>
          <w:sz w:val="20"/>
        </w:rPr>
        <w:t>A verification architecture that distinguishes access, local verification, target-anchored verification, cross-participant agreement, artifact matching, claim support, issuance, identity, and authorization.</w:t>
      </w:r>
    </w:p>
    <w:p>
      <w:pPr>
        <w:pStyle w:val="BodyText"/>
        <w:keepLines w:val="0"/>
        <w:spacing w:before="0" w:after="60" w:line="252" w:lineRule="auto"/>
        <w:ind w:left="360" w:hanging="360"/>
      </w:pPr>
      <w:r>
        <w:rPr>
          <w:rFonts w:ascii="Liberation Sans" w:hAnsi="Liberation Sans" w:eastAsia="Liberation Sans"/>
          <w:b/>
          <w:i w:val="0"/>
          <w:sz w:val="20"/>
        </w:rPr>
        <w:t xml:space="preserve">4. </w:t>
      </w:r>
      <w:r>
        <w:rPr>
          <w:rFonts w:ascii="Liberation Sans" w:hAnsi="Liberation Sans" w:eastAsia="Liberation Sans"/>
          <w:b w:val="0"/>
          <w:i w:val="0"/>
          <w:sz w:val="20"/>
        </w:rPr>
        <w:t>A cumulative finite-depth epistemic condition that remains distinct from source-defined common p-belief and does not claim universal sufficiency.</w:t>
      </w:r>
    </w:p>
    <w:p>
      <w:pPr>
        <w:pStyle w:val="BodyText"/>
        <w:keepLines w:val="0"/>
        <w:spacing w:before="0" w:after="60" w:line="252" w:lineRule="auto"/>
        <w:ind w:left="360" w:hanging="360"/>
      </w:pPr>
      <w:r>
        <w:rPr>
          <w:rFonts w:ascii="Liberation Sans" w:hAnsi="Liberation Sans" w:eastAsia="Liberation Sans"/>
          <w:b/>
          <w:i w:val="0"/>
          <w:sz w:val="20"/>
        </w:rPr>
        <w:t xml:space="preserve">5. </w:t>
      </w:r>
      <w:r>
        <w:rPr>
          <w:rFonts w:ascii="Liberation Sans" w:hAnsi="Liberation Sans" w:eastAsia="Liberation Sans"/>
          <w:b w:val="0"/>
          <w:i w:val="0"/>
          <w:sz w:val="20"/>
        </w:rPr>
        <w:t>A signed communication model that exposes shared transmission, recipient-specific marginal traffic, fallback, and recipient processing.</w:t>
      </w:r>
    </w:p>
    <w:p>
      <w:pPr>
        <w:pStyle w:val="BodyText"/>
        <w:keepLines w:val="0"/>
        <w:spacing w:before="0" w:after="60" w:line="252" w:lineRule="auto"/>
        <w:ind w:left="360" w:hanging="360"/>
      </w:pPr>
      <w:r>
        <w:rPr>
          <w:rFonts w:ascii="Liberation Sans" w:hAnsi="Liberation Sans" w:eastAsia="Liberation Sans"/>
          <w:b/>
          <w:i w:val="0"/>
          <w:sz w:val="20"/>
        </w:rPr>
        <w:t xml:space="preserve">6. </w:t>
      </w:r>
      <w:r>
        <w:rPr>
          <w:rFonts w:ascii="Liberation Sans" w:hAnsi="Liberation Sans" w:eastAsia="Liberation Sans"/>
          <w:b w:val="0"/>
          <w:i w:val="0"/>
          <w:sz w:val="20"/>
        </w:rPr>
        <w:t>A time-indexed durability layer that separates name persistence, discovery, retrieval, byte identity, temporal fidelity, redundancy dependence, and recurring maintenance.</w:t>
      </w:r>
    </w:p>
    <w:p>
      <w:pPr>
        <w:pStyle w:val="BodyText"/>
        <w:keepLines w:val="0"/>
        <w:spacing w:before="0" w:after="60" w:line="252" w:lineRule="auto"/>
        <w:ind w:left="360" w:hanging="360"/>
      </w:pPr>
      <w:r>
        <w:rPr>
          <w:rFonts w:ascii="Liberation Sans" w:hAnsi="Liberation Sans" w:eastAsia="Liberation Sans"/>
          <w:b/>
          <w:i w:val="0"/>
          <w:sz w:val="20"/>
        </w:rPr>
        <w:t xml:space="preserve">7. </w:t>
      </w:r>
      <w:r>
        <w:rPr>
          <w:rFonts w:ascii="Liberation Sans" w:hAnsi="Liberation Sans" w:eastAsia="Liberation Sans"/>
          <w:b w:val="0"/>
          <w:i w:val="0"/>
          <w:sz w:val="20"/>
        </w:rPr>
        <w:t>A strategic-reference taxonomy covering citation theater, false verification status, selective disclosure, authority laundering, costly signaling, and strategic leakage.</w:t>
      </w:r>
    </w:p>
    <w:p>
      <w:pPr>
        <w:pStyle w:val="BodyText"/>
        <w:keepLines w:val="0"/>
        <w:spacing w:before="0" w:after="60" w:line="252" w:lineRule="auto"/>
        <w:ind w:left="360" w:hanging="360"/>
      </w:pPr>
      <w:r>
        <w:rPr>
          <w:rFonts w:ascii="Liberation Sans" w:hAnsi="Liberation Sans" w:eastAsia="Liberation Sans"/>
          <w:b/>
          <w:i w:val="0"/>
          <w:sz w:val="20"/>
        </w:rPr>
        <w:t xml:space="preserve">8. </w:t>
      </w:r>
      <w:r>
        <w:rPr>
          <w:rFonts w:ascii="Liberation Sans" w:hAnsi="Liberation Sans" w:eastAsia="Liberation Sans"/>
          <w:b w:val="0"/>
          <w:i w:val="0"/>
          <w:sz w:val="20"/>
        </w:rPr>
        <w:t>A unified identification, calibration, and uncertainty ledger that prevents formal notation from masquerading as empirical measurement.</w:t>
      </w:r>
    </w:p>
    <w:p>
      <w:pPr>
        <w:pStyle w:val="BodyText"/>
        <w:keepLines w:val="0"/>
        <w:spacing w:before="0" w:after="60" w:line="252" w:lineRule="auto"/>
        <w:ind w:left="360" w:hanging="360"/>
      </w:pPr>
      <w:r>
        <w:rPr>
          <w:rFonts w:ascii="Liberation Sans" w:hAnsi="Liberation Sans" w:eastAsia="Liberation Sans"/>
          <w:b/>
          <w:i w:val="0"/>
          <w:sz w:val="20"/>
        </w:rPr>
        <w:t xml:space="preserve">9. </w:t>
      </w:r>
      <w:r>
        <w:rPr>
          <w:rFonts w:ascii="Liberation Sans" w:hAnsi="Liberation Sans" w:eastAsia="Liberation Sans"/>
          <w:b w:val="0"/>
          <w:i w:val="0"/>
          <w:sz w:val="20"/>
        </w:rPr>
        <w:t>A one-charge discipline that permits overlapping events but prohibits duplicated concrete harm.</w:t>
      </w:r>
    </w:p>
    <w:p>
      <w:pPr>
        <w:pStyle w:val="BodyText"/>
        <w:keepLines w:val="0"/>
        <w:spacing w:before="0" w:after="60" w:line="252" w:lineRule="auto"/>
        <w:ind w:left="360" w:hanging="360"/>
      </w:pPr>
      <w:r>
        <w:rPr>
          <w:rFonts w:ascii="Liberation Sans" w:hAnsi="Liberation Sans" w:eastAsia="Liberation Sans"/>
          <w:b/>
          <w:i w:val="0"/>
          <w:sz w:val="20"/>
        </w:rPr>
        <w:t xml:space="preserve">10. </w:t>
      </w:r>
      <w:r>
        <w:rPr>
          <w:rFonts w:ascii="Liberation Sans" w:hAnsi="Liberation Sans" w:eastAsia="Liberation Sans"/>
          <w:b w:val="0"/>
          <w:i w:val="0"/>
          <w:sz w:val="20"/>
        </w:rPr>
        <w:t>A machine-readable representation that records evidence status and dependencies without implying automated semantic truth.</w:t>
      </w:r>
    </w:p>
    <w:p>
      <w:pPr>
        <w:pStyle w:val="Heading1"/>
        <w:keepNext/>
        <w:pageBreakBefore w:val="0"/>
        <w:spacing w:before="0" w:after="140"/>
      </w:pPr>
      <w:r>
        <w:rPr>
          <w:rFonts w:ascii="Liberation Sans" w:hAnsi="Liberation Sans" w:eastAsia="Liberation Sans"/>
          <w:b/>
          <w:i w:val="0"/>
          <w:color w:val="1F4E78"/>
          <w:sz w:val="31"/>
        </w:rPr>
        <w:t>3. Scenario, Population, and Branch Architecture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20" w:type="dxa"/>
              <w:start w:w="150" w:type="dxa"/>
              <w:bottom w:w="120" w:type="dxa"/>
              <w:end w:w="150" w:type="dxa"/>
            </w:tcMar>
            <w:tcBorders>
              <w:top w:sz="8" w:val="single" w:color="2F75B5"/>
              <w:left w:sz="8" w:val="single" w:color="2F75B5"/>
              <w:bottom w:sz="8" w:val="single" w:color="2F75B5"/>
              <w:right w:sz="8" w:val="single" w:color="2F75B5"/>
            </w:tcBorders>
          </w:tcPr>
          <w:p>
            <w:pPr>
              <w:keepLines w:val="0"/>
              <w:spacing w:before="0" w:after="40" w:line="252" w:lineRule="auto"/>
            </w:pPr>
            <w:r>
              <w:rPr>
                <w:rFonts w:ascii="Liberation Sans" w:hAnsi="Liberation Sans" w:eastAsia="Liberation Sans"/>
                <w:b/>
                <w:i w:val="0"/>
                <w:color w:val="1F4E78"/>
                <w:sz w:val="20"/>
              </w:rPr>
              <w:t xml:space="preserve">MANDATORY OPENING ORDER  </w:t>
            </w:r>
            <w:r>
              <w:rPr>
                <w:rFonts w:ascii="Liberation Sans" w:hAnsi="Liberation Sans" w:eastAsia="Liberation Sans"/>
                <w:b w:val="0"/>
                <w:i w:val="0"/>
                <w:sz w:val="20"/>
              </w:rPr>
              <w:t>Every sign claim must define Gamma and Omega before estimating a probability difference, signed channel, branch total, or premium. The reference branch may not be conditioned on success while the alternative branch is left unconditional.</w:t>
            </w:r>
          </w:p>
        </w:tc>
      </w:tr>
    </w:tbl>
    <w:p>
      <w:pPr>
        <w:spacing w:after="0"/>
      </w:pPr>
    </w:p>
    <w:p>
      <w:pPr>
        <w:pStyle w:val="Heading2"/>
        <w:keepNext/>
        <w:pageBreakBefore w:val="0"/>
        <w:spacing w:before="160" w:after="80"/>
      </w:pPr>
      <w:r>
        <w:rPr>
          <w:rFonts w:ascii="Liberation Sans" w:hAnsi="Liberation Sans" w:eastAsia="Liberation Sans"/>
          <w:b/>
          <w:i w:val="0"/>
          <w:color w:val="2F75B5"/>
          <w:sz w:val="25"/>
        </w:rPr>
        <w:t>3.1 Fixed scenario Gamma</w:t>
      </w:r>
    </w:p>
    <w:p>
      <w:pPr>
        <w:pStyle w:val="BodyText"/>
        <w:keepLines w:val="0"/>
        <w:spacing w:before="0" w:after="100" w:line="259" w:lineRule="auto"/>
      </w:pPr>
      <w:r>
        <w:rPr>
          <w:rFonts w:ascii="Liberation Sans" w:hAnsi="Liberation Sans" w:eastAsia="Liberation Sans"/>
          <w:b w:val="0"/>
          <w:i w:val="0"/>
          <w:sz w:val="20"/>
        </w:rPr>
        <w:t>A scenario Gamma fixes the comparison long enough for the branches to be meaningful. It is not a claim that the chosen assumptions are empirically correct outside that scenario.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Gamma component</w:t>
            </w:r>
          </w:p>
        </w:tc>
        <w:tc>
          <w:tcPr>
            <w:tcW w:type="dxa" w:w="784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Required disclosure</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Task and decision</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What decision, action, classification, or coordination problem is being evaluated?</w:t>
            </w:r>
          </w:p>
        </w:tc>
      </w:tr>
      <w:tr>
        <w:tc>
          <w:tcPr>
            <w:tcW w:type="dxa" w:w="19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Objective and authority</w:t>
            </w:r>
          </w:p>
        </w:tc>
        <w:tc>
          <w:tcPr>
            <w:tcW w:type="dxa" w:w="78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Whose objective or welfare function is used, and who is authorized to define it?</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Action set</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Which actions are available in both branches?</w:t>
            </w:r>
          </w:p>
        </w:tc>
      </w:tr>
      <w:tr>
        <w:tc>
          <w:tcPr>
            <w:tcW w:type="dxa" w:w="19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Participants J</w:t>
            </w:r>
          </w:p>
        </w:tc>
        <w:tc>
          <w:tcPr>
            <w:tcW w:type="dxa" w:w="78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Who sends, receives, verifies, interprets, audits, or bears effects?</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Evidence regime</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What artifacts, targets, keys, registries, policies, and semantic evidence are available?</w:t>
            </w:r>
          </w:p>
        </w:tc>
      </w:tr>
      <w:tr>
        <w:tc>
          <w:tcPr>
            <w:tcW w:type="dxa" w:w="19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Timing</w:t>
            </w:r>
          </w:p>
        </w:tc>
        <w:tc>
          <w:tcPr>
            <w:tcW w:type="dxa" w:w="78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Decision deadline, permissible timing spread delta, and observation window.</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Horizon</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Single period or dynamic horizon T; for finite T, 0 &lt;= beta &lt;= 1; an infinite horizon requires beta &lt; 1 and convergence of the discounted expected sequence.</w:t>
            </w:r>
          </w:p>
        </w:tc>
      </w:tr>
      <w:tr>
        <w:tc>
          <w:tcPr>
            <w:tcW w:type="dxa" w:w="19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Dependence</w:t>
            </w:r>
          </w:p>
        </w:tc>
        <w:tc>
          <w:tcPr>
            <w:tcW w:type="dxa" w:w="78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Shared gateways, common priors, correlated errors, shared operators, and other joint structure.</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Units</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Illustrative units, measured units, monetary values, probability losses, or authorized welfare weights.</w:t>
            </w:r>
          </w:p>
        </w:tc>
      </w:tr>
      <w:tr>
        <w:tc>
          <w:tcPr>
            <w:tcW w:type="dxa" w:w="19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Alternative</w:t>
            </w:r>
          </w:p>
        </w:tc>
        <w:tc>
          <w:tcPr>
            <w:tcW w:type="dxa" w:w="78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The concrete non-reference process, not an undefined absence of the reference.</w:t>
            </w:r>
          </w:p>
        </w:tc>
      </w:tr>
    </w:tbl>
    <w:p>
      <w:pPr>
        <w:spacing w:after="20"/>
      </w:pPr>
    </w:p>
    <w:p>
      <w:pPr>
        <w:pStyle w:val="Heading2"/>
        <w:keepNext/>
        <w:pageBreakBefore w:val="0"/>
        <w:spacing w:before="160" w:after="80"/>
      </w:pPr>
      <w:r>
        <w:rPr>
          <w:rFonts w:ascii="Liberation Sans" w:hAnsi="Liberation Sans" w:eastAsia="Liberation Sans"/>
          <w:b/>
          <w:i w:val="0"/>
          <w:color w:val="2F75B5"/>
          <w:sz w:val="25"/>
        </w:rPr>
        <w:t>3.2 Common population Omega</w:t>
      </w:r>
    </w:p>
    <w:p>
      <w:pPr>
        <w:pStyle w:val="BodyText"/>
        <w:keepLines w:val="0"/>
        <w:spacing w:before="0" w:after="100" w:line="259" w:lineRule="auto"/>
      </w:pPr>
      <w:r>
        <w:rPr>
          <w:rFonts w:ascii="Liberation Sans" w:hAnsi="Liberation Sans" w:eastAsia="Liberation Sans"/>
          <w:b w:val="0"/>
          <w:i w:val="0"/>
          <w:sz w:val="20"/>
        </w:rPr>
        <w:t>Omega is the pre-branch population, task state, and evidence basis from which both branches are compared. A model may condition both branches on the same disclosed facts, but it may not select only successful reference users after the branch split and compare them with an unselected alternative population. Attrition, non-retrieval, refusal, inability, and branch-dependent selection belong in the model or sensitivity analysis.</w:t>
      </w:r>
    </w:p>
    <w:p>
      <w:pPr>
        <w:pStyle w:val="Heading2"/>
        <w:keepNext/>
        <w:pageBreakBefore w:val="0"/>
        <w:spacing w:before="160" w:after="80"/>
      </w:pPr>
      <w:r>
        <w:rPr>
          <w:rFonts w:ascii="Liberation Sans" w:hAnsi="Liberation Sans" w:eastAsia="Liberation Sans"/>
          <w:b/>
          <w:i w:val="0"/>
          <w:color w:val="2F75B5"/>
          <w:sz w:val="25"/>
        </w:rPr>
        <w:t>3.3 Branches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44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Branch</w:t>
            </w:r>
          </w:p>
        </w:tc>
        <w:tc>
          <w:tcPr>
            <w:tcW w:type="dxa" w:w="835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Definition</w:t>
            </w:r>
          </w:p>
        </w:tc>
      </w:tr>
      <w:tr>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b = ref</w:t>
            </w:r>
          </w:p>
        </w:tc>
        <w:tc>
          <w:tcPr>
            <w:tcW w:type="dxa" w:w="835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The process in which participants use the specified public reference, including pointer transmission, retrieval, verification, interpretation, fallback, maintenance, and strategic effects.</w:t>
            </w:r>
          </w:p>
        </w:tc>
      </w:tr>
      <w:tr>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b = alt</w:t>
            </w:r>
          </w:p>
        </w:tc>
        <w:tc>
          <w:tcPr>
            <w:tcW w:type="dxa" w:w="835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The disclosed alternative process for the same task and population, such as direct explanation, an unmanaged URL, a private signal, an independent audit path, or no shared anchor.</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Pi_ref,Gamma = W_ref,Gamma - W_alt,Gamma    (1)</w:t>
            </w:r>
          </w:p>
          <w:p>
            <w:pPr>
              <w:keepLines w:val="0"/>
              <w:spacing w:before="60" w:after="0" w:line="240" w:lineRule="auto"/>
              <w:jc w:val="left"/>
            </w:pPr>
            <w:r>
              <w:rPr>
                <w:rFonts w:ascii="Liberation Sans" w:hAnsi="Liberation Sans" w:eastAsia="Liberation Sans"/>
                <w:b w:val="0"/>
                <w:i/>
                <w:color w:val="666666"/>
                <w:sz w:val="18"/>
              </w:rPr>
              <w:t>The premium is never an intrinsic property of the reference. It is a difference between two complete branch values under one scenario.</w:t>
            </w:r>
          </w:p>
        </w:tc>
      </w:tr>
    </w:tbl>
    <w:p>
      <w:pPr>
        <w:spacing w:after="0"/>
      </w:pPr>
    </w:p>
    <w:p>
      <w:pPr>
        <w:pStyle w:val="BodyText"/>
        <w:keepLines w:val="0"/>
        <w:spacing w:before="0" w:after="100" w:line="259" w:lineRule="auto"/>
      </w:pPr>
      <w:r>
        <w:rPr>
          <w:rFonts w:ascii="Liberation Sans" w:hAnsi="Liberation Sans" w:eastAsia="Liberation Sans"/>
          <w:b w:val="0"/>
          <w:i w:val="0"/>
          <w:sz w:val="20"/>
        </w:rPr>
        <w:t>A positive value means the reference branch has higher expected net value under the disclosed model. A zero value means the modeled advantages and disadvantages cancel. A negative value means the alternative branch dominates. If admissible parameter values cross zero or cannot be bounded, the correct conclusion is threshold dependence, sign indeterminacy, or no quantitative sign claim.</w:t>
      </w:r>
    </w:p>
    <w:p>
      <w:pPr>
        <w:pStyle w:val="Heading1"/>
        <w:keepNext/>
        <w:pageBreakBefore w:val="0"/>
        <w:spacing w:before="0" w:after="140"/>
      </w:pPr>
      <w:r>
        <w:rPr>
          <w:rFonts w:ascii="Liberation Sans" w:hAnsi="Liberation Sans" w:eastAsia="Liberation Sans"/>
          <w:b/>
          <w:i w:val="0"/>
          <w:color w:val="1F4E78"/>
          <w:sz w:val="31"/>
        </w:rPr>
        <w:t>4. Verification and Event Architecture</w:t>
      </w:r>
    </w:p>
    <w:p>
      <w:pPr>
        <w:pStyle w:val="BodyText"/>
        <w:keepLines w:val="0"/>
        <w:spacing w:before="0" w:after="100" w:line="259" w:lineRule="auto"/>
      </w:pPr>
      <w:r>
        <w:rPr>
          <w:rFonts w:ascii="Liberation Sans" w:hAnsi="Liberation Sans" w:eastAsia="Liberation Sans"/>
          <w:b w:val="0"/>
          <w:i w:val="0"/>
          <w:sz w:val="20"/>
        </w:rPr>
        <w:t>Verification is layered. A participant can recognize a pointer without reaching it, reach an artifact without matching the intended target, match bytes without interpreting the claim, interpret a claim without agreeing with other participants on the same version, or validate a signature without establishing the truth or authorization of a signed status field.</w:t>
      </w:r>
    </w:p>
    <w:p>
      <w:pPr>
        <w:pStyle w:val="Heading2"/>
        <w:keepNext/>
        <w:pageBreakBefore w:val="0"/>
        <w:spacing w:before="160" w:after="80"/>
      </w:pPr>
      <w:r>
        <w:rPr>
          <w:rFonts w:ascii="Liberation Sans" w:hAnsi="Liberation Sans" w:eastAsia="Liberation Sans"/>
          <w:b/>
          <w:i w:val="0"/>
          <w:color w:val="2F75B5"/>
          <w:sz w:val="25"/>
        </w:rPr>
        <w:t>4.1 Local participant event</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E_j = R_j intersect A_j intersect V_j intersect I_j    (2)</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Symbol</w:t>
            </w:r>
          </w:p>
        </w:tc>
        <w:tc>
          <w:tcPr>
            <w:tcW w:type="dxa" w:w="432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Meaning</w:t>
            </w:r>
          </w:p>
        </w:tc>
        <w:tc>
          <w:tcPr>
            <w:tcW w:type="dxa" w:w="446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Non-inference</w:t>
            </w:r>
          </w:p>
        </w:tc>
      </w:tr>
      <w:tr>
        <w:tc>
          <w:tcPr>
            <w:tcW w:type="dxa" w:w="100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R_j</w:t>
            </w:r>
          </w:p>
        </w:tc>
        <w:tc>
          <w:tcPr>
            <w:tcW w:type="dxa" w:w="43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Participant j recognizes the pointer, identifier, or reference record.</w:t>
            </w:r>
          </w:p>
        </w:tc>
        <w:tc>
          <w:tcPr>
            <w:tcW w:type="dxa" w:w="446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Recognition does not establish availability.</w:t>
            </w:r>
          </w:p>
        </w:tc>
      </w:tr>
      <w:tr>
        <w:tc>
          <w:tcPr>
            <w:tcW w:type="dxa" w:w="100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A_j</w:t>
            </w:r>
          </w:p>
        </w:tc>
        <w:tc>
          <w:tcPr>
            <w:tcW w:type="dxa" w:w="43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Participant j can access the required artifact or defensible representation.</w:t>
            </w:r>
          </w:p>
        </w:tc>
        <w:tc>
          <w:tcPr>
            <w:tcW w:type="dxa" w:w="446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Access does not establish identity or historical fidelity.</w:t>
            </w:r>
          </w:p>
        </w:tc>
      </w:tr>
      <w:tr>
        <w:tc>
          <w:tcPr>
            <w:tcW w:type="dxa" w:w="100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V_j</w:t>
            </w:r>
          </w:p>
        </w:tc>
        <w:tc>
          <w:tcPr>
            <w:tcW w:type="dxa" w:w="43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Participant j performs the disclosed local verification act.</w:t>
            </w:r>
          </w:p>
        </w:tc>
        <w:tc>
          <w:tcPr>
            <w:tcW w:type="dxa" w:w="446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Local verification need not be target-anchored and does not establish truth.</w:t>
            </w:r>
          </w:p>
        </w:tc>
      </w:tr>
      <w:tr>
        <w:tc>
          <w:tcPr>
            <w:tcW w:type="dxa" w:w="100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I_j</w:t>
            </w:r>
          </w:p>
        </w:tc>
        <w:tc>
          <w:tcPr>
            <w:tcW w:type="dxa" w:w="43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Participant j interprets the artifact for the task within the relevant scope.</w:t>
            </w:r>
          </w:p>
        </w:tc>
        <w:tc>
          <w:tcPr>
            <w:tcW w:type="dxa" w:w="446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Interpretation may be self-reported or judgment-dependent.</w:t>
            </w:r>
          </w:p>
        </w:tc>
      </w:tr>
      <w:tr>
        <w:tc>
          <w:tcPr>
            <w:tcW w:type="dxa" w:w="100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E_j</w:t>
            </w:r>
          </w:p>
        </w:tc>
        <w:tc>
          <w:tcPr>
            <w:tcW w:type="dxa" w:w="43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All four local conditions hold for participant j.</w:t>
            </w:r>
          </w:p>
        </w:tc>
        <w:tc>
          <w:tcPr>
            <w:tcW w:type="dxa" w:w="446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Local success does not establish cross-participant agreement.</w:t>
            </w:r>
          </w:p>
        </w:tc>
      </w:tr>
    </w:tbl>
    <w:p>
      <w:pPr>
        <w:spacing w:after="20"/>
      </w:pPr>
    </w:p>
    <w:p>
      <w:pPr>
        <w:pStyle w:val="Heading2"/>
        <w:keepNext/>
        <w:pageBreakBefore w:val="0"/>
        <w:spacing w:before="160" w:after="80"/>
      </w:pPr>
      <w:r>
        <w:rPr>
          <w:rFonts w:ascii="Liberation Sans" w:hAnsi="Liberation Sans" w:eastAsia="Liberation Sans"/>
          <w:b/>
          <w:i w:val="0"/>
          <w:color w:val="2F75B5"/>
          <w:sz w:val="25"/>
        </w:rPr>
        <w:t>4.2 Cross-participant agreement</w:t>
      </w:r>
    </w:p>
    <w:p>
      <w:pPr>
        <w:pStyle w:val="BodyText"/>
        <w:keepLines w:val="0"/>
        <w:spacing w:before="0" w:after="100" w:line="259" w:lineRule="auto"/>
      </w:pPr>
      <w:r>
        <w:rPr>
          <w:rFonts w:ascii="Liberation Sans" w:hAnsi="Liberation Sans" w:eastAsia="Liberation Sans"/>
          <w:b w:val="0"/>
          <w:i w:val="0"/>
          <w:sz w:val="20"/>
        </w:rPr>
        <w:t>V_agree is a separate event: all required participants have verified the same scoped artifact, edition, identifier, digest where applicable, cited claim, and task mapping. Multiple local V_j events can hold while V_agree fails because participants retrieved different editions or mapped the artifact to different claims.</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Phi_ref = J_local intersect V_agree    (3)</w:t>
            </w:r>
          </w:p>
          <w:p>
            <w:pPr>
              <w:keepLines w:val="0"/>
              <w:spacing w:before="60" w:after="0" w:line="240" w:lineRule="auto"/>
              <w:jc w:val="left"/>
            </w:pPr>
            <w:r>
              <w:rPr>
                <w:rFonts w:ascii="Liberation Sans" w:hAnsi="Liberation Sans" w:eastAsia="Liberation Sans"/>
                <w:b w:val="0"/>
                <w:i/>
                <w:color w:val="666666"/>
                <w:sz w:val="18"/>
              </w:rPr>
              <w:t>Phi_ref is the truth-anchored target proposition used by the finite-depth epistemic construction.</w:t>
            </w:r>
          </w:p>
        </w:tc>
      </w:tr>
    </w:tbl>
    <w:p>
      <w:pPr>
        <w:spacing w:after="0"/>
      </w:pPr>
    </w:p>
    <w:p>
      <w:pPr>
        <w:pStyle w:val="BodyText"/>
        <w:keepLines w:val="0"/>
        <w:spacing w:before="0" w:after="100" w:line="259" w:lineRule="auto"/>
      </w:pPr>
      <w:r>
        <w:rPr>
          <w:rFonts w:ascii="Liberation Sans" w:hAnsi="Liberation Sans" w:eastAsia="Liberation Sans"/>
          <w:b w:val="0"/>
          <w:i w:val="0"/>
          <w:sz w:val="20"/>
        </w:rPr>
        <w:t>Phi_ref is fixed before M_Gamma^(d,tau) is evaluated: J_local and V_agree are defined from the proposition, target, and agreement events rather than from H_d or M_Gamma. Because H_d^tau(Phi_ref) is truth-anchored, it entails Phi_ref inside the model; the separately named M_Gamma conjunct records the additional task-sufficiency and belief-to-action bridge, not a circular redefinition of the target proposition.</w:t>
      </w:r>
    </w:p>
    <w:p>
      <w:pPr>
        <w:pStyle w:val="Heading2"/>
        <w:keepNext/>
        <w:pageBreakBefore w:val="0"/>
        <w:spacing w:before="160" w:after="80"/>
      </w:pPr>
      <w:r>
        <w:rPr>
          <w:rFonts w:ascii="Liberation Sans" w:hAnsi="Liberation Sans" w:eastAsia="Liberation Sans"/>
          <w:b/>
          <w:i w:val="0"/>
          <w:color w:val="2F75B5"/>
          <w:sz w:val="25"/>
        </w:rPr>
        <w:t>4.3 Coordination outcome partition</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F_proc = not E_1 union ... union not E_k    (4)</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D = (intersection_j E_j) intersect not V_agree    (5)</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F_mutual = (intersection_j E_j) intersect V_agree intersect not M_Gamma^(d,tau)    (6)</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E_coord = (intersection_j E_j) intersect V_agree intersect M_Gamma^(d,tau)    (7)</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F_time = E_coord intersect not T_delta ;   E_coord,delta = E_coord intersect T_delta    (8)</w:t>
            </w:r>
          </w:p>
        </w:tc>
      </w:tr>
    </w:tbl>
    <w:p>
      <w:pPr>
        <w:spacing w:after="0"/>
      </w:pPr>
    </w:p>
    <w:p>
      <w:pPr>
        <w:pStyle w:val="BodyText"/>
        <w:keepLines w:val="0"/>
        <w:spacing w:before="0" w:after="100" w:line="259" w:lineRule="auto"/>
      </w:pPr>
      <w:r>
        <w:rPr>
          <w:rFonts w:ascii="Liberation Sans" w:hAnsi="Liberation Sans" w:eastAsia="Liberation Sans"/>
          <w:b w:val="0"/>
          <w:i w:val="0"/>
          <w:sz w:val="20"/>
        </w:rPr>
        <w:t>E_coord is a derived intermediate. At the terminal level, the mutually exclusive partition is {F_proc, D, F_mutual, F_time, E_coord,delta}. The same timing failure may not then be charged again as a second generic coordination failure.</w:t>
      </w:r>
    </w:p>
    <w:p>
      <w:pPr>
        <w:pStyle w:val="Heading2"/>
        <w:keepNext/>
        <w:pageBreakBefore w:val="0"/>
        <w:spacing w:before="160" w:after="80"/>
      </w:pPr>
      <w:r>
        <w:rPr>
          <w:rFonts w:ascii="Liberation Sans" w:hAnsi="Liberation Sans" w:eastAsia="Liberation Sans"/>
          <w:b/>
          <w:i w:val="0"/>
          <w:color w:val="2F75B5"/>
          <w:sz w:val="25"/>
        </w:rPr>
        <w:t>4.4 Artifact and claim support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Object</w:t>
            </w:r>
          </w:p>
        </w:tc>
        <w:tc>
          <w:tcPr>
            <w:tcW w:type="dxa" w:w="489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Question</w:t>
            </w:r>
          </w:p>
        </w:tc>
        <w:tc>
          <w:tcPr>
            <w:tcW w:type="dxa" w:w="316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Typical evidence class</w:t>
            </w:r>
          </w:p>
        </w:tc>
      </w:tr>
      <w:tr>
        <w:tc>
          <w:tcPr>
            <w:tcW w:type="dxa" w:w="172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S_artifact(s)</w:t>
            </w:r>
          </w:p>
        </w:tc>
        <w:tc>
          <w:tcPr>
            <w:tcW w:type="dxa" w:w="48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Does source s match the required edition, identifier, digest, and document scope?</w:t>
            </w:r>
          </w:p>
        </w:tc>
        <w:tc>
          <w:tcPr>
            <w:tcW w:type="dxa" w:w="316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Often reproducibly machine-verifiable where targets are encoded.</w:t>
            </w:r>
          </w:p>
        </w:tc>
      </w:tr>
      <w:tr>
        <w:tc>
          <w:tcPr>
            <w:tcW w:type="dxa" w:w="172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S_claim(c,s)</w:t>
            </w:r>
          </w:p>
        </w:tc>
        <w:tc>
          <w:tcPr>
            <w:tcW w:type="dxa" w:w="48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Does source s substantively support attributed claim c in context?</w:t>
            </w:r>
          </w:p>
        </w:tc>
        <w:tc>
          <w:tcPr>
            <w:tcW w:type="dxa" w:w="316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Semantic and judgment-dependent.</w:t>
            </w:r>
          </w:p>
        </w:tc>
      </w:tr>
      <w:tr>
        <w:tc>
          <w:tcPr>
            <w:tcW w:type="dxa" w:w="172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E_art(s)</w:t>
            </w:r>
          </w:p>
        </w:tc>
        <w:tc>
          <w:tcPr>
            <w:tcW w:type="dxa" w:w="48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Is the intended artifact available, target-matched, and artifact-scope matched?</w:t>
            </w:r>
          </w:p>
        </w:tc>
        <w:tc>
          <w:tcPr>
            <w:tcW w:type="dxa" w:w="316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Composite; machine and dependency checks.</w:t>
            </w:r>
          </w:p>
        </w:tc>
      </w:tr>
      <w:tr>
        <w:tc>
          <w:tcPr>
            <w:tcW w:type="dxa" w:w="172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E_support(c,s)</w:t>
            </w:r>
          </w:p>
        </w:tc>
        <w:tc>
          <w:tcPr>
            <w:tcW w:type="dxa" w:w="48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Does the artifact support the claim after scope and semantic review?</w:t>
            </w:r>
          </w:p>
        </w:tc>
        <w:tc>
          <w:tcPr>
            <w:tcW w:type="dxa" w:w="316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Composite; cannot be inferred from byte identity alone.</w:t>
            </w:r>
          </w:p>
        </w:tc>
      </w:tr>
      <w:tr>
        <w:tc>
          <w:tcPr>
            <w:tcW w:type="dxa" w:w="172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E_issue</w:t>
            </w:r>
          </w:p>
        </w:tc>
        <w:tc>
          <w:tcPr>
            <w:tcW w:type="dxa" w:w="48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Was the message or status record issued under the assumed key and identity assurances?</w:t>
            </w:r>
          </w:p>
        </w:tc>
        <w:tc>
          <w:tcPr>
            <w:tcW w:type="dxa" w:w="316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Cryptographic and dependency-bound; not truth.</w:t>
            </w:r>
          </w:p>
        </w:tc>
      </w:tr>
    </w:tbl>
    <w:p>
      <w:pPr>
        <w:spacing w:after="20"/>
      </w:pP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20" w:type="dxa"/>
              <w:start w:w="150" w:type="dxa"/>
              <w:bottom w:w="120" w:type="dxa"/>
              <w:end w:w="150" w:type="dxa"/>
            </w:tcMar>
            <w:tcBorders>
              <w:top w:sz="8" w:val="single" w:color="C65911"/>
              <w:left w:sz="8" w:val="single" w:color="C65911"/>
              <w:bottom w:sz="8" w:val="single" w:color="C65911"/>
              <w:right w:sz="8" w:val="single" w:color="C65911"/>
            </w:tcBorders>
          </w:tcPr>
          <w:p>
            <w:pPr>
              <w:keepLines w:val="0"/>
              <w:spacing w:before="0" w:after="40" w:line="252" w:lineRule="auto"/>
            </w:pPr>
            <w:r>
              <w:rPr>
                <w:rFonts w:ascii="Liberation Sans" w:hAnsi="Liberation Sans" w:eastAsia="Liberation Sans"/>
                <w:b/>
                <w:i w:val="0"/>
                <w:color w:val="1F4E78"/>
                <w:sz w:val="20"/>
              </w:rPr>
              <w:t xml:space="preserve">VERIFICATION BOUNDARY  </w:t>
            </w:r>
            <w:r>
              <w:rPr>
                <w:rFonts w:ascii="Liberation Sans" w:hAnsi="Liberation Sans" w:eastAsia="Liberation Sans"/>
                <w:b w:val="0"/>
                <w:i w:val="0"/>
                <w:sz w:val="20"/>
              </w:rPr>
              <w:t>Local verification, target-anchored byte verification, cross-participant agreement, artifact matching, claim support, issuance, identity, authorization, truth, relevance, and task value are distinct concepts. A successful check may establish only the field it actually tests.</w:t>
            </w:r>
          </w:p>
        </w:tc>
      </w:tr>
    </w:tbl>
    <w:p>
      <w:pPr>
        <w:spacing w:after="0"/>
      </w:pPr>
    </w:p>
    <w:p>
      <w:pPr>
        <w:pStyle w:val="Heading1"/>
        <w:keepNext/>
        <w:pageBreakBefore w:val="0"/>
        <w:spacing w:before="0" w:after="140"/>
      </w:pPr>
      <w:r>
        <w:rPr>
          <w:rFonts w:ascii="Liberation Sans" w:hAnsi="Liberation Sans" w:eastAsia="Liberation Sans"/>
          <w:b/>
          <w:i w:val="0"/>
          <w:color w:val="1F4E78"/>
          <w:sz w:val="31"/>
        </w:rPr>
        <w:t>5. Epistemic Coordination</w:t>
      </w:r>
    </w:p>
    <w:p>
      <w:pPr>
        <w:pStyle w:val="BodyText"/>
        <w:keepLines w:val="0"/>
        <w:spacing w:before="0" w:after="100" w:line="259" w:lineRule="auto"/>
      </w:pPr>
      <w:r>
        <w:rPr>
          <w:rFonts w:ascii="Liberation Sans" w:hAnsi="Liberation Sans" w:eastAsia="Liberation Sans"/>
          <w:b w:val="0"/>
          <w:i w:val="0"/>
          <w:sz w:val="20"/>
        </w:rPr>
        <w:t>Common knowledge is a strong benchmark for coordinated action, but practical distributed systems may not attain it. Common p-belief weakens certainty while preserving an infinite doxastic hierarchy. A finite hierarchy can sometimes be task-sufficient, but Rubinstein-type discontinuities show that arbitrarily deep finite belief need not reproduce common-knowledge behavior. The sources therefore support a bounded architecture rather than a universal approximation claim. [R1-R4]</w:t>
      </w:r>
    </w:p>
    <w:p>
      <w:pPr>
        <w:pStyle w:val="Heading2"/>
        <w:keepNext/>
        <w:pageBreakBefore w:val="0"/>
        <w:spacing w:before="160" w:after="80"/>
      </w:pPr>
      <w:r>
        <w:rPr>
          <w:rFonts w:ascii="Liberation Sans" w:hAnsi="Liberation Sans" w:eastAsia="Liberation Sans"/>
          <w:b/>
          <w:i w:val="0"/>
          <w:color w:val="2F75B5"/>
          <w:sz w:val="25"/>
        </w:rPr>
        <w:t>5.1 Cumulative truth-anchored hierarchy</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H_0^tau(Phi) = Phi    (9)</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H_(r+1)^tau(Phi) = H_r^tau(Phi) intersect intersection_(j=1)^k B_j^tau(H_r^tau(Phi))    (10)</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C_G^tau(Phi) = intersection_(r=0)^infinity H_r^tau(Phi)    (11)</w:t>
            </w:r>
          </w:p>
        </w:tc>
      </w:tr>
    </w:tbl>
    <w:p>
      <w:pPr>
        <w:spacing w:after="0"/>
      </w:pPr>
    </w:p>
    <w:p>
      <w:pPr>
        <w:pStyle w:val="BodyText"/>
        <w:keepLines w:val="0"/>
        <w:spacing w:before="0" w:after="100" w:line="259" w:lineRule="auto"/>
      </w:pPr>
      <w:r>
        <w:rPr>
          <w:rFonts w:ascii="Liberation Sans" w:hAnsi="Liberation Sans" w:eastAsia="Liberation Sans"/>
          <w:b w:val="0"/>
          <w:i w:val="0"/>
          <w:sz w:val="20"/>
        </w:rPr>
        <w:t>B_j^tau(X) is the event that participant j assigns probability at least tau to X. The recursion is cumulative because H_(r+1) explicitly retains H_r. C_G^tau is a truth-anchored VRP benchmark, not the source-defined doxastic common p-belief object. The notation does not make internal beliefs observable.</w:t>
      </w:r>
    </w:p>
    <w:p>
      <w:pPr>
        <w:pStyle w:val="Heading2"/>
        <w:keepNext/>
        <w:pageBreakBefore w:val="0"/>
        <w:spacing w:before="160" w:after="80"/>
      </w:pPr>
      <w:r>
        <w:rPr>
          <w:rFonts w:ascii="Liberation Sans" w:hAnsi="Liberation Sans" w:eastAsia="Liberation Sans"/>
          <w:b/>
          <w:i w:val="0"/>
          <w:color w:val="2F75B5"/>
          <w:sz w:val="25"/>
        </w:rPr>
        <w:t>5.2 Task-specific finite sufficiency</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M_Gamma^(d,tau)(Phi_ref) = H_d^tau(Phi_ref) together with disclosed task-sufficiency assumptions Gamma    (12)</w:t>
            </w:r>
          </w:p>
        </w:tc>
      </w:tr>
    </w:tbl>
    <w:p>
      <w:pPr>
        <w:spacing w:after="0"/>
      </w:pPr>
    </w:p>
    <w:p>
      <w:pPr>
        <w:pStyle w:val="BodyText"/>
        <w:keepLines w:val="0"/>
        <w:spacing w:before="0" w:after="100" w:line="259" w:lineRule="auto"/>
      </w:pPr>
      <w:r>
        <w:rPr>
          <w:rFonts w:ascii="Liberation Sans" w:hAnsi="Liberation Sans" w:eastAsia="Liberation Sans"/>
          <w:b w:val="0"/>
          <w:i w:val="0"/>
          <w:sz w:val="20"/>
        </w:rPr>
        <w:t>The depth d, threshold tau, timing tolerance, action rule, payoff discontinuities, communication reliability, and loss asymmetry are scenario-fixed unless separately calibrated. The paper may conclude that M_Gamma^(d,tau) is sufficient only for the disclosed task model. It may not call the finite condition common p-belief, almost common knowledge, or a general substitute for common knowledge.</w:t>
      </w:r>
    </w:p>
    <w:p>
      <w:pPr>
        <w:pStyle w:val="Heading2"/>
        <w:keepNext/>
        <w:pageBreakBefore w:val="0"/>
        <w:spacing w:before="160" w:after="80"/>
      </w:pPr>
      <w:r>
        <w:rPr>
          <w:rFonts w:ascii="Liberation Sans" w:hAnsi="Liberation Sans" w:eastAsia="Liberation Sans"/>
          <w:b/>
          <w:i w:val="0"/>
          <w:color w:val="2F75B5"/>
          <w:sz w:val="25"/>
        </w:rPr>
        <w:t>5.3 Timing</w:t>
      </w:r>
    </w:p>
    <w:p>
      <w:pPr>
        <w:pStyle w:val="BodyText"/>
        <w:keepLines w:val="0"/>
        <w:spacing w:before="0" w:after="100" w:line="259" w:lineRule="auto"/>
      </w:pPr>
      <w:r>
        <w:rPr>
          <w:rFonts w:ascii="Liberation Sans" w:hAnsi="Liberation Sans" w:eastAsia="Liberation Sans"/>
          <w:b w:val="0"/>
          <w:i w:val="0"/>
          <w:sz w:val="20"/>
        </w:rPr>
        <w:t>A group can satisfy the epistemic condition too late. T_delta therefore encodes the task-specific temporal requirement, such as a bounded observation window, deadline, or permitted spread among participant confirmations. Timing may be directly observed even while the underlying belief hierarchy remains latent.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20" w:type="dxa"/>
              <w:start w:w="150" w:type="dxa"/>
              <w:bottom w:w="120" w:type="dxa"/>
              <w:end w:w="150" w:type="dxa"/>
            </w:tcMar>
            <w:tcBorders>
              <w:top w:sz="8" w:val="single" w:color="BF9000"/>
              <w:left w:sz="8" w:val="single" w:color="BF9000"/>
              <w:bottom w:sz="8" w:val="single" w:color="BF9000"/>
              <w:right w:sz="8" w:val="single" w:color="BF9000"/>
            </w:tcBorders>
          </w:tcPr>
          <w:p>
            <w:pPr>
              <w:keepLines w:val="0"/>
              <w:spacing w:before="0" w:after="40" w:line="252" w:lineRule="auto"/>
            </w:pPr>
            <w:r>
              <w:rPr>
                <w:rFonts w:ascii="Liberation Sans" w:hAnsi="Liberation Sans" w:eastAsia="Liberation Sans"/>
                <w:b/>
                <w:i w:val="0"/>
                <w:color w:val="1F4E78"/>
                <w:sz w:val="20"/>
              </w:rPr>
              <w:t xml:space="preserve">EPISTEMIC NON-CLAIM  </w:t>
            </w:r>
            <w:r>
              <w:rPr>
                <w:rFonts w:ascii="Liberation Sans" w:hAnsi="Liberation Sans" w:eastAsia="Liberation Sans"/>
                <w:b w:val="0"/>
                <w:i w:val="0"/>
                <w:sz w:val="20"/>
              </w:rPr>
              <w:t>Public availability, a shared digest, multiple acknowledgments, or repeated citation does not by itself establish higher-order belief, common p-belief, common knowledge, or task-sufficient mutual expectation.</w:t>
            </w:r>
          </w:p>
        </w:tc>
      </w:tr>
    </w:tbl>
    <w:p>
      <w:pPr>
        <w:spacing w:after="0"/>
      </w:pPr>
    </w:p>
    <w:p>
      <w:pPr>
        <w:pStyle w:val="Heading1"/>
        <w:keepNext/>
        <w:pageBreakBefore w:val="0"/>
        <w:spacing w:before="0" w:after="140"/>
      </w:pPr>
      <w:r>
        <w:rPr>
          <w:rFonts w:ascii="Liberation Sans" w:hAnsi="Liberation Sans" w:eastAsia="Liberation Sans"/>
          <w:b/>
          <w:i w:val="0"/>
          <w:color w:val="1F4E78"/>
          <w:sz w:val="31"/>
        </w:rPr>
        <w:t>6. Value and Negative Value of Information</w:t>
      </w:r>
    </w:p>
    <w:p>
      <w:pPr>
        <w:pStyle w:val="BodyText"/>
        <w:keepLines w:val="0"/>
        <w:spacing w:before="0" w:after="100" w:line="259" w:lineRule="auto"/>
      </w:pPr>
      <w:r>
        <w:rPr>
          <w:rFonts w:ascii="Liberation Sans" w:hAnsi="Liberation Sans" w:eastAsia="Liberation Sans"/>
          <w:b w:val="0"/>
          <w:i w:val="0"/>
          <w:sz w:val="20"/>
        </w:rPr>
        <w:t>Blackwell comparison supplies a narrow gross benchmark: under Bayesian expected-utility optimization, optional use, unchanged actions and objectives, and exclusion of acquisition, processing, commitment, privacy, and third-party costs, a more informative experiment weakly expands the attainable decision set. This does not establish that a public reference is Blackwell-superior, that two real information structures are comparable, or that net or social value is nonnegative. [R5]</w:t>
      </w:r>
    </w:p>
    <w:p>
      <w:pPr>
        <w:pStyle w:val="Heading2"/>
        <w:keepNext/>
        <w:pageBreakBefore w:val="0"/>
        <w:spacing w:before="160" w:after="80"/>
      </w:pPr>
      <w:r>
        <w:rPr>
          <w:rFonts w:ascii="Liberation Sans" w:hAnsi="Liberation Sans" w:eastAsia="Liberation Sans"/>
          <w:b/>
          <w:i w:val="0"/>
          <w:color w:val="2F75B5"/>
          <w:sz w:val="25"/>
        </w:rPr>
        <w:t>6.1 Gross benchmark</w:t>
      </w:r>
    </w:p>
    <w:p>
      <w:pPr>
        <w:pStyle w:val="BodyText"/>
        <w:keepLines w:val="0"/>
        <w:spacing w:before="0" w:after="100" w:line="259" w:lineRule="auto"/>
      </w:pPr>
      <w:r>
        <w:rPr>
          <w:rFonts w:ascii="Liberation Sans" w:hAnsi="Liberation Sans" w:eastAsia="Liberation Sans"/>
          <w:b w:val="0"/>
          <w:i w:val="0"/>
          <w:sz w:val="20"/>
        </w:rPr>
        <w:t>The optionality intuition matters. A costless signal can be ignored. A public reference that must be retrieved, interpreted, reviewed, cited, or obeyed cannot be treated as costless merely because the file is publicly reachable. Howard supports decision-specific value and nonadditivity only to the extent verified by the article abstract in the Phase 2 record. [R6]</w:t>
      </w:r>
    </w:p>
    <w:p>
      <w:pPr>
        <w:pStyle w:val="Heading2"/>
        <w:keepNext/>
        <w:pageBreakBefore w:val="0"/>
        <w:spacing w:before="160" w:after="80"/>
      </w:pPr>
      <w:r>
        <w:rPr>
          <w:rFonts w:ascii="Liberation Sans" w:hAnsi="Liberation Sans" w:eastAsia="Liberation Sans"/>
          <w:b/>
          <w:i w:val="0"/>
          <w:color w:val="2F75B5"/>
          <w:sz w:val="25"/>
        </w:rPr>
        <w:t>6.2 Private and social value</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V_priv,i = W_ref,i - W_alt,i    (13)</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V_soc = sum_i omega_i (W_ref,i - W_alt,i) + Delta W_external    (14)</w:t>
            </w:r>
          </w:p>
        </w:tc>
      </w:tr>
    </w:tbl>
    <w:p>
      <w:pPr>
        <w:spacing w:after="0"/>
      </w:pPr>
    </w:p>
    <w:p>
      <w:pPr>
        <w:pStyle w:val="BodyText"/>
        <w:keepLines w:val="0"/>
        <w:spacing w:before="0" w:after="100" w:line="259" w:lineRule="auto"/>
      </w:pPr>
      <w:r>
        <w:rPr>
          <w:rFonts w:ascii="Liberation Sans" w:hAnsi="Liberation Sans" w:eastAsia="Liberation Sans"/>
          <w:b w:val="0"/>
          <w:i w:val="0"/>
          <w:sz w:val="20"/>
        </w:rPr>
        <w:t>Hirshleifer demonstrates that private and social values of information can diverge through timing, redistribution, risk sharing, and dissemination effects. Morris and Shin show that a noisy public signal can operate both as a fundamentals signal and a coordination focal point; under some modeled conditions it can amplify common error or displace private information. The 2006 exchange limits any universal anti-transparency reading. [R7-R10]</w:t>
      </w:r>
    </w:p>
    <w:p>
      <w:pPr>
        <w:pStyle w:val="Heading2"/>
        <w:keepNext/>
        <w:pageBreakBefore w:val="0"/>
        <w:spacing w:before="160" w:after="80"/>
      </w:pPr>
      <w:r>
        <w:rPr>
          <w:rFonts w:ascii="Liberation Sans" w:hAnsi="Liberation Sans" w:eastAsia="Liberation Sans"/>
          <w:b/>
          <w:i w:val="0"/>
          <w:color w:val="2F75B5"/>
          <w:sz w:val="25"/>
        </w:rPr>
        <w:t>6.3 Negative-value mechanisms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Mechanism</w:t>
            </w:r>
          </w:p>
        </w:tc>
        <w:tc>
          <w:tcPr>
            <w:tcW w:type="dxa" w:w="302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Possible accounting location</w:t>
            </w:r>
          </w:p>
        </w:tc>
        <w:tc>
          <w:tcPr>
            <w:tcW w:type="dxa" w:w="489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Required boundary</w:t>
            </w:r>
          </w:p>
        </w:tc>
      </w:tr>
      <w:tr>
        <w:tc>
          <w:tcPr>
            <w:tcW w:type="dxa" w:w="187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Process burden</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C_proc</w:t>
            </w:r>
          </w:p>
        </w:tc>
        <w:tc>
          <w:tcPr>
            <w:tcW w:type="dxa" w:w="48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Retrieval, verification, interpretation, access, attention, and handling.</w:t>
            </w:r>
          </w:p>
        </w:tc>
      </w:tr>
      <w:tr>
        <w:tc>
          <w:tcPr>
            <w:tcW w:type="dxa" w:w="187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Common-mode error</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Negative K_coord or a named loss, never both</w:t>
            </w:r>
          </w:p>
        </w:tc>
        <w:tc>
          <w:tcPr>
            <w:tcW w:type="dxa" w:w="48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Specify the shared error and affected population.</w:t>
            </w:r>
          </w:p>
        </w:tc>
      </w:tr>
      <w:tr>
        <w:tc>
          <w:tcPr>
            <w:tcW w:type="dxa" w:w="187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Crowding out</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K_coord, C_other, or named externality</w:t>
            </w:r>
          </w:p>
        </w:tc>
        <w:tc>
          <w:tcPr>
            <w:tcW w:type="dxa" w:w="48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Identify displaced independent evidence and count once.</w:t>
            </w:r>
          </w:p>
        </w:tc>
      </w:tr>
      <w:tr>
        <w:tc>
          <w:tcPr>
            <w:tcW w:type="dxa" w:w="187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Strategic leakage</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C_mis or named externality</w:t>
            </w:r>
          </w:p>
        </w:tc>
        <w:tc>
          <w:tcPr>
            <w:tcW w:type="dxa" w:w="48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State what citation reveals about identity, priorities, evidence, or intended action.</w:t>
            </w:r>
          </w:p>
        </w:tc>
      </w:tr>
      <w:tr>
        <w:tc>
          <w:tcPr>
            <w:tcW w:type="dxa" w:w="187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Irreversible commitment</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C_fail or named loss</w:t>
            </w:r>
          </w:p>
        </w:tc>
        <w:tc>
          <w:tcPr>
            <w:tcW w:type="dxa" w:w="48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Disclose timing and reversibility.</w:t>
            </w:r>
          </w:p>
        </w:tc>
      </w:tr>
      <w:tr>
        <w:tc>
          <w:tcPr>
            <w:tcW w:type="dxa" w:w="187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Distributional effects</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V_soc weights and externalities</w:t>
            </w:r>
          </w:p>
        </w:tc>
        <w:tc>
          <w:tcPr>
            <w:tcW w:type="dxa" w:w="48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Identify all parties and authorized weights.</w:t>
            </w:r>
          </w:p>
        </w:tc>
      </w:tr>
      <w:tr>
        <w:tc>
          <w:tcPr>
            <w:tcW w:type="dxa" w:w="187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Mandatory attention</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C_proc and optionality boundary</w:t>
            </w:r>
          </w:p>
        </w:tc>
        <w:tc>
          <w:tcPr>
            <w:tcW w:type="dxa" w:w="48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Do not invoke free-information nonnegativity.</w:t>
            </w:r>
          </w:p>
        </w:tc>
      </w:tr>
    </w:tbl>
    <w:p>
      <w:pPr>
        <w:spacing w:after="20"/>
      </w:pP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20" w:type="dxa"/>
              <w:start w:w="150" w:type="dxa"/>
              <w:bottom w:w="120" w:type="dxa"/>
              <w:end w:w="150" w:type="dxa"/>
            </w:tcMar>
            <w:tcBorders>
              <w:top w:sz="8" w:val="single" w:color="C65911"/>
              <w:left w:sz="8" w:val="single" w:color="C65911"/>
              <w:bottom w:sz="8" w:val="single" w:color="C65911"/>
              <w:right w:sz="8" w:val="single" w:color="C65911"/>
            </w:tcBorders>
          </w:tcPr>
          <w:p>
            <w:pPr>
              <w:keepLines w:val="0"/>
              <w:spacing w:before="0" w:after="40" w:line="252" w:lineRule="auto"/>
            </w:pPr>
            <w:r>
              <w:rPr>
                <w:rFonts w:ascii="Liberation Sans" w:hAnsi="Liberation Sans" w:eastAsia="Liberation Sans"/>
                <w:b/>
                <w:i w:val="0"/>
                <w:color w:val="1F4E78"/>
                <w:sz w:val="20"/>
              </w:rPr>
              <w:t xml:space="preserve">VALUE BOUNDARY  </w:t>
            </w:r>
            <w:r>
              <w:rPr>
                <w:rFonts w:ascii="Liberation Sans" w:hAnsi="Liberation Sans" w:eastAsia="Liberation Sans"/>
                <w:b w:val="0"/>
                <w:i w:val="0"/>
                <w:sz w:val="20"/>
              </w:rPr>
              <w:t>Information quantity, uncertainty reduction, citation availability, persistence, prestige, or cryptographic structure is not decision value. Value is relative to actions, consequences, objectives, costs, timing, affected parties, and the alternative branch.</w:t>
            </w:r>
          </w:p>
        </w:tc>
      </w:tr>
    </w:tbl>
    <w:p>
      <w:pPr>
        <w:spacing w:after="0"/>
      </w:pPr>
    </w:p>
    <w:p>
      <w:pPr>
        <w:pStyle w:val="Heading1"/>
        <w:keepNext/>
        <w:pageBreakBefore w:val="0"/>
        <w:spacing w:before="0" w:after="140"/>
      </w:pPr>
      <w:r>
        <w:rPr>
          <w:rFonts w:ascii="Liberation Sans" w:hAnsi="Liberation Sans" w:eastAsia="Liberation Sans"/>
          <w:b/>
          <w:i w:val="0"/>
          <w:color w:val="1F4E78"/>
          <w:sz w:val="31"/>
        </w:rPr>
        <w:t>7. Communication and Compression</w:t>
      </w:r>
    </w:p>
    <w:p>
      <w:pPr>
        <w:pStyle w:val="BodyText"/>
        <w:keepLines w:val="0"/>
        <w:spacing w:before="0" w:after="100" w:line="259" w:lineRule="auto"/>
      </w:pPr>
      <w:r>
        <w:rPr>
          <w:rFonts w:ascii="Liberation Sans" w:hAnsi="Liberation Sans" w:eastAsia="Liberation Sans"/>
          <w:b w:val="0"/>
          <w:i w:val="0"/>
          <w:sz w:val="20"/>
        </w:rPr>
        <w:t>Shannon supports engineering claims about symbol transmission and source coding while explicitly excluding semantic meaning from the communication problem. Yao supports the task-specific exchanged-information insight at the level verified by the 1979 abstract. Slepian-Wolf and index-coding results show that side information and shared broadcast can reduce rates under precise distribution, decoder, sender-knowledge, and fidelity assumptions. None establishes that a short citation is understood, correct, useful, or cheap to integrate. [R11-R15]</w:t>
      </w:r>
    </w:p>
    <w:p>
      <w:pPr>
        <w:pStyle w:val="Heading2"/>
        <w:keepNext/>
        <w:pageBreakBefore w:val="0"/>
        <w:spacing w:before="160" w:after="80"/>
      </w:pPr>
      <w:r>
        <w:rPr>
          <w:rFonts w:ascii="Liberation Sans" w:hAnsi="Liberation Sans" w:eastAsia="Liberation Sans"/>
          <w:b/>
          <w:i w:val="0"/>
          <w:color w:val="2F75B5"/>
          <w:sz w:val="25"/>
        </w:rPr>
        <w:t>7.1 Shared and marginal transmission</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C_tx,b,Gamma(J) = C_tx,b,Gamma^shared(J) + sum_(j in J) C_tx,b,j,Gamma^marg    (15)</w:t>
            </w:r>
          </w:p>
        </w:tc>
      </w:tr>
    </w:tbl>
    <w:p>
      <w:pPr>
        <w:spacing w:after="0"/>
      </w:pPr>
    </w:p>
    <w:p>
      <w:pPr>
        <w:pStyle w:val="BodyText"/>
        <w:keepLines w:val="0"/>
        <w:spacing w:before="0" w:after="100" w:line="259" w:lineRule="auto"/>
      </w:pPr>
      <w:r>
        <w:rPr>
          <w:rFonts w:ascii="Liberation Sans" w:hAnsi="Liberation Sans" w:eastAsia="Liberation Sans"/>
          <w:b w:val="0"/>
          <w:i w:val="0"/>
          <w:sz w:val="20"/>
        </w:rPr>
        <w:t>The sender may pay one shared broadcast cost while recipients face heterogeneous marginal formatting, authentication, or privacy costs. Shared transmission does not imply shared side information or shared interpretation.</w:t>
      </w:r>
    </w:p>
    <w:p>
      <w:pPr>
        <w:pStyle w:val="Heading2"/>
        <w:keepNext/>
        <w:pageBreakBefore w:val="0"/>
        <w:spacing w:before="160" w:after="80"/>
      </w:pPr>
      <w:r>
        <w:rPr>
          <w:rFonts w:ascii="Liberation Sans" w:hAnsi="Liberation Sans" w:eastAsia="Liberation Sans"/>
          <w:b/>
          <w:i w:val="0"/>
          <w:color w:val="2F75B5"/>
          <w:sz w:val="25"/>
        </w:rPr>
        <w:t>7.2 Reference branch transmission and fallback</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E_Gamma[C_tx,ref(J)] = C_ptr,shared,Gamma(J) + sum_j [C_ptr,j,marg,Gamma + p_fail,j,Gamma C_fallback,tx,j,Gamma]    (16)</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K_comp,Gamma(J) = E_Gamma[C_tx,alt(J)] - E_Gamma[C_tx,ref(J)]    (17)</w:t>
            </w:r>
          </w:p>
        </w:tc>
      </w:tr>
    </w:tbl>
    <w:p>
      <w:pPr>
        <w:spacing w:after="0"/>
      </w:pPr>
    </w:p>
    <w:p>
      <w:pPr>
        <w:pStyle w:val="BodyText"/>
        <w:keepLines w:val="0"/>
        <w:spacing w:before="0" w:after="100" w:line="259" w:lineRule="auto"/>
      </w:pPr>
      <w:r>
        <w:rPr>
          <w:rFonts w:ascii="Liberation Sans" w:hAnsi="Liberation Sans" w:eastAsia="Liberation Sans"/>
          <w:b w:val="0"/>
          <w:i w:val="0"/>
          <w:sz w:val="20"/>
        </w:rPr>
        <w:t>K_comp is signed. It is positive when expected sender/channel transmission is lower in the reference branch, negative when reference transmission and fallback exceed the alternative, and zero when they are equal. Fallback belongs inside the reference branch before K_comp is computed. Failure followed by the ordinary alternative is not a second compression loss.</w:t>
      </w:r>
    </w:p>
    <w:p>
      <w:pPr>
        <w:pStyle w:val="Heading2"/>
        <w:keepNext/>
        <w:pageBreakBefore w:val="0"/>
        <w:spacing w:before="160" w:after="80"/>
      </w:pPr>
      <w:r>
        <w:rPr>
          <w:rFonts w:ascii="Liberation Sans" w:hAnsi="Liberation Sans" w:eastAsia="Liberation Sans"/>
          <w:b/>
          <w:i w:val="0"/>
          <w:color w:val="2F75B5"/>
          <w:sz w:val="25"/>
        </w:rPr>
        <w:t>7.3 Optional special-case identity</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K_comp,Gamma(J) = sum_j p_use,j G_comp,j + sum_j p_fail,j [C_tx,alt,j - C_fallback,tx,j] - C_ptr,shared - sum_j C_ptr,j,marg    (18)</w:t>
            </w:r>
          </w:p>
          <w:p>
            <w:pPr>
              <w:keepLines w:val="0"/>
              <w:spacing w:before="60" w:after="0" w:line="240" w:lineRule="auto"/>
              <w:jc w:val="left"/>
            </w:pPr>
            <w:r>
              <w:rPr>
                <w:rFonts w:ascii="Liberation Sans" w:hAnsi="Liberation Sans" w:eastAsia="Liberation Sans"/>
                <w:b w:val="0"/>
                <w:i/>
                <w:color w:val="666666"/>
                <w:sz w:val="18"/>
              </w:rPr>
              <w:t>Legacy Equation 8a. It is subordinate to the general both-branch Equation 17 in this paper.</w:t>
            </w:r>
          </w:p>
        </w:tc>
      </w:tr>
    </w:tbl>
    <w:p>
      <w:pPr>
        <w:spacing w:after="0"/>
      </w:pPr>
    </w:p>
    <w:p>
      <w:pPr>
        <w:pStyle w:val="BodyText"/>
        <w:keepLines w:val="0"/>
        <w:spacing w:before="0" w:after="100" w:line="259" w:lineRule="auto"/>
      </w:pPr>
      <w:r>
        <w:rPr>
          <w:rFonts w:ascii="Liberation Sans" w:hAnsi="Liberation Sans" w:eastAsia="Liberation Sans"/>
          <w:b w:val="0"/>
          <w:i w:val="0"/>
          <w:sz w:val="20"/>
        </w:rPr>
        <w:t>Equation 18 may be used only when all four validity conditions hold: G_comp,j equals the per-recipient alternative transmission cost; p_use,j + p_fail,j = 1 is an exhaustive binary partition; alternative transmission is recipient-additive with no shared alternative component; and the successful reference path transmits no payload beyond the displayed pointer terms. Otherwise the general both-branch definition in Equation 17 controls.</w:t>
      </w:r>
    </w:p>
    <w:p>
      <w:pPr>
        <w:pStyle w:val="Heading2"/>
        <w:keepNext/>
        <w:pageBreakBefore w:val="0"/>
        <w:spacing w:before="160" w:after="80"/>
      </w:pPr>
      <w:r>
        <w:rPr>
          <w:rFonts w:ascii="Liberation Sans" w:hAnsi="Liberation Sans" w:eastAsia="Liberation Sans"/>
          <w:b/>
          <w:i w:val="0"/>
          <w:color w:val="2F75B5"/>
          <w:sz w:val="25"/>
        </w:rPr>
        <w:t>7.4 Recipient processing</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C_recv,j = C_resolve,j + C_ret,j + C_dec,j    (19)</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C_proc,j = C_access,j + C_recv,j + C_ver,j + C_int,j    (20)</w:t>
            </w:r>
          </w:p>
        </w:tc>
      </w:tr>
    </w:tbl>
    <w:p>
      <w:pPr>
        <w:spacing w:after="0"/>
      </w:pPr>
    </w:p>
    <w:p>
      <w:pPr>
        <w:pStyle w:val="BodyText"/>
        <w:keepLines w:val="0"/>
        <w:spacing w:before="0" w:after="100" w:line="259" w:lineRule="auto"/>
      </w:pPr>
      <w:r>
        <w:rPr>
          <w:rFonts w:ascii="Liberation Sans" w:hAnsi="Liberation Sans" w:eastAsia="Liberation Sans"/>
          <w:b w:val="0"/>
          <w:i w:val="0"/>
          <w:sz w:val="20"/>
        </w:rPr>
        <w:t>Economic access, receiving, retrieval, decoding, verification, interpretation, and handling remain outside K_comp. C_ptr is a sender/channel transmission input, not a terminal cost address. C_delay is a routing-only diagnostic label: each concrete delay is assigned once to K_comp, C_proc, C_fail, or a named externality according to its effect, and is never charged separately after routing.</w:t>
      </w:r>
    </w:p>
    <w:p>
      <w:pPr>
        <w:pStyle w:val="Heading2"/>
        <w:keepNext/>
        <w:pageBreakBefore w:val="0"/>
        <w:spacing w:before="160" w:after="80"/>
      </w:pPr>
      <w:r>
        <w:rPr>
          <w:rFonts w:ascii="Liberation Sans" w:hAnsi="Liberation Sans" w:eastAsia="Liberation Sans"/>
          <w:b/>
          <w:i w:val="0"/>
          <w:color w:val="2F75B5"/>
          <w:sz w:val="25"/>
        </w:rPr>
        <w:t>7.5 Fixed-size pointer boundary</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ell_ptr(N; lambda, scheme) = O_(lambda,scheme)(1) relative to payload length N;   C_ref,Gamma(N,J) need not be O(1)    (21)</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20" w:type="dxa"/>
              <w:start w:w="150" w:type="dxa"/>
              <w:bottom w:w="120" w:type="dxa"/>
              <w:end w:w="150" w:type="dxa"/>
            </w:tcMar>
            <w:tcBorders>
              <w:top w:sz="8" w:val="single" w:color="C65911"/>
              <w:left w:sz="8" w:val="single" w:color="C65911"/>
              <w:bottom w:sz="8" w:val="single" w:color="C65911"/>
              <w:right w:sz="8" w:val="single" w:color="C65911"/>
            </w:tcBorders>
          </w:tcPr>
          <w:p>
            <w:pPr>
              <w:keepLines w:val="0"/>
              <w:spacing w:before="0" w:after="40" w:line="252" w:lineRule="auto"/>
            </w:pPr>
            <w:r>
              <w:rPr>
                <w:rFonts w:ascii="Liberation Sans" w:hAnsi="Liberation Sans" w:eastAsia="Liberation Sans"/>
                <w:b/>
                <w:i w:val="0"/>
                <w:color w:val="1F4E78"/>
                <w:sz w:val="20"/>
              </w:rPr>
              <w:t xml:space="preserve">NO HASH-TO-COMPRESSION SHORTCUT  </w:t>
            </w:r>
            <w:r>
              <w:rPr>
                <w:rFonts w:ascii="Liberation Sans" w:hAnsi="Liberation Sans" w:eastAsia="Liberation Sans"/>
                <w:b w:val="0"/>
                <w:i w:val="0"/>
                <w:sz w:val="20"/>
              </w:rPr>
              <w:t>A digest may be compact relative to payload length under a fixed scheme and security parameter. It does not convey the object, prove possession, preserve context, establish semantic scope, or eliminate retrieval, verification, interpretation, and fallback.</w:t>
            </w:r>
          </w:p>
        </w:tc>
      </w:tr>
    </w:tbl>
    <w:p>
      <w:pPr>
        <w:spacing w:after="0"/>
      </w:pPr>
    </w:p>
    <w:p>
      <w:pPr>
        <w:pStyle w:val="Heading1"/>
        <w:keepNext/>
        <w:pageBreakBefore w:val="0"/>
        <w:spacing w:before="0" w:after="140"/>
      </w:pPr>
      <w:r>
        <w:rPr>
          <w:rFonts w:ascii="Liberation Sans" w:hAnsi="Liberation Sans" w:eastAsia="Liberation Sans"/>
          <w:b/>
          <w:i w:val="0"/>
          <w:color w:val="1F4E78"/>
          <w:sz w:val="31"/>
        </w:rPr>
        <w:t>8. Provenance and Audit Channels</w:t>
      </w:r>
    </w:p>
    <w:p>
      <w:pPr>
        <w:pStyle w:val="BodyText"/>
        <w:keepLines w:val="0"/>
        <w:spacing w:before="0" w:after="100" w:line="259" w:lineRule="auto"/>
      </w:pPr>
      <w:r>
        <w:rPr>
          <w:rFonts w:ascii="Liberation Sans" w:hAnsi="Liberation Sans" w:eastAsia="Liberation Sans"/>
          <w:b w:val="0"/>
          <w:i w:val="0"/>
          <w:sz w:val="20"/>
        </w:rPr>
        <w:t>Provenance and audit legibility are separate signed channels. Provenance concerns whether a reference reduces disputes about origin, edition, version, or artifact identity. Audit legibility concerns whether an authorized reviewer can reconstruct and classify the decision process more accurately. Neither channel proves the substantive truth or authority of the cited claim.</w:t>
      </w:r>
    </w:p>
    <w:p>
      <w:pPr>
        <w:pStyle w:val="Heading2"/>
        <w:keepNext/>
        <w:pageBreakBefore w:val="0"/>
        <w:spacing w:before="160" w:after="80"/>
      </w:pPr>
      <w:r>
        <w:rPr>
          <w:rFonts w:ascii="Liberation Sans" w:hAnsi="Liberation Sans" w:eastAsia="Liberation Sans"/>
          <w:b/>
          <w:i w:val="0"/>
          <w:color w:val="2F75B5"/>
          <w:sz w:val="25"/>
        </w:rPr>
        <w:t>8.1 Provenance channel</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E_prov = R intersect A intersect V_target    (22)</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K_prov = P(E_prov) Delta p_disp|E_prov L_prov    (23)</w:t>
            </w:r>
          </w:p>
        </w:tc>
      </w:tr>
    </w:tbl>
    <w:p>
      <w:pPr>
        <w:spacing w:after="0"/>
      </w:pPr>
    </w:p>
    <w:p>
      <w:pPr>
        <w:pStyle w:val="BodyText"/>
        <w:keepLines w:val="0"/>
        <w:spacing w:before="0" w:after="100" w:line="259" w:lineRule="auto"/>
      </w:pPr>
      <w:r>
        <w:rPr>
          <w:rFonts w:ascii="Liberation Sans" w:hAnsi="Liberation Sans" w:eastAsia="Liberation Sans"/>
          <w:b w:val="0"/>
          <w:i w:val="0"/>
          <w:sz w:val="20"/>
        </w:rPr>
        <w:t>A positive provenance contribution requires an identified dispute class, a target-anchored verification condition, a disclosed alternative dispute probability, and a loss magnitude. If a hash target is untrusted, the bytes are missing, the wrong edition is retrieved, or the claim falls outside the artifact scope, provenance value may be zero or negative after costs.</w:t>
      </w:r>
    </w:p>
    <w:p>
      <w:pPr>
        <w:pStyle w:val="Heading2"/>
        <w:keepNext/>
        <w:pageBreakBefore w:val="0"/>
        <w:spacing w:before="160" w:after="80"/>
      </w:pPr>
      <w:r>
        <w:rPr>
          <w:rFonts w:ascii="Liberation Sans" w:hAnsi="Liberation Sans" w:eastAsia="Liberation Sans"/>
          <w:b/>
          <w:i w:val="0"/>
          <w:color w:val="2F75B5"/>
          <w:sz w:val="25"/>
        </w:rPr>
        <w:t>8.2 Audit channel</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E_aud = R_aud intersect A_aud intersect V_aud intersect I_aud    (24)</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K_audit = P(E_aud) Delta p_misclass|E_aud L_m    (25)</w:t>
            </w:r>
          </w:p>
        </w:tc>
      </w:tr>
    </w:tbl>
    <w:p>
      <w:pPr>
        <w:spacing w:after="0"/>
      </w:pPr>
    </w:p>
    <w:p>
      <w:pPr>
        <w:pStyle w:val="BodyText"/>
        <w:keepLines w:val="0"/>
        <w:spacing w:before="0" w:after="100" w:line="259" w:lineRule="auto"/>
      </w:pPr>
      <w:r>
        <w:rPr>
          <w:rFonts w:ascii="Liberation Sans" w:hAnsi="Liberation Sans" w:eastAsia="Liberation Sans"/>
          <w:b w:val="0"/>
          <w:i w:val="0"/>
          <w:sz w:val="20"/>
        </w:rPr>
        <w:t>The authorized auditor set, review criteria, evidence access, classification target, and loss of misclassification must be disclosed. Public readability is not identical to auditability, and auditability is not identical to authority. Corrective audit labor is a process cost even when the audit channel has positive expected value.</w:t>
      </w:r>
    </w:p>
    <w:p>
      <w:pPr>
        <w:pStyle w:val="Heading2"/>
        <w:keepNext/>
        <w:pageBreakBefore w:val="0"/>
        <w:spacing w:before="160" w:after="80"/>
      </w:pPr>
      <w:r>
        <w:rPr>
          <w:rFonts w:ascii="Liberation Sans" w:hAnsi="Liberation Sans" w:eastAsia="Liberation Sans"/>
          <w:b/>
          <w:i w:val="0"/>
          <w:color w:val="2F75B5"/>
          <w:sz w:val="25"/>
        </w:rPr>
        <w:t>8.3 Signed-channel convention</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Delta p_x = p_x,alt - p_x,ref in [-1,1]    (26)</w:t>
            </w:r>
          </w:p>
          <w:p>
            <w:pPr>
              <w:keepLines w:val="0"/>
              <w:spacing w:before="60" w:after="0" w:line="240" w:lineRule="auto"/>
              <w:jc w:val="left"/>
            </w:pPr>
            <w:r>
              <w:rPr>
                <w:rFonts w:ascii="Liberation Sans" w:hAnsi="Liberation Sans" w:eastAsia="Liberation Sans"/>
                <w:b w:val="0"/>
                <w:i/>
                <w:color w:val="666666"/>
                <w:sz w:val="18"/>
              </w:rPr>
              <w:t>A positive Delta p_x means the reference branch reduces the specified undesirable outcome relative to the alternative.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20" w:type="dxa"/>
              <w:start w:w="150" w:type="dxa"/>
              <w:bottom w:w="120" w:type="dxa"/>
              <w:end w:w="150" w:type="dxa"/>
            </w:tcMar>
            <w:tcBorders>
              <w:top w:sz="8" w:val="single" w:color="70AD47"/>
              <w:left w:sz="8" w:val="single" w:color="70AD47"/>
              <w:bottom w:sz="8" w:val="single" w:color="70AD47"/>
              <w:right w:sz="8" w:val="single" w:color="70AD47"/>
            </w:tcBorders>
          </w:tcPr>
          <w:p>
            <w:pPr>
              <w:keepLines w:val="0"/>
              <w:spacing w:before="0" w:after="40" w:line="252" w:lineRule="auto"/>
            </w:pPr>
            <w:r>
              <w:rPr>
                <w:rFonts w:ascii="Liberation Sans" w:hAnsi="Liberation Sans" w:eastAsia="Liberation Sans"/>
                <w:b/>
                <w:i w:val="0"/>
                <w:color w:val="1F4E78"/>
                <w:sz w:val="20"/>
              </w:rPr>
              <w:t xml:space="preserve">FOUR-CHANNEL LIMIT  </w:t>
            </w:r>
            <w:r>
              <w:rPr>
                <w:rFonts w:ascii="Liberation Sans" w:hAnsi="Liberation Sans" w:eastAsia="Liberation Sans"/>
                <w:b w:val="0"/>
                <w:i w:val="0"/>
                <w:sz w:val="20"/>
              </w:rPr>
              <w:t>The intrinsic signed channels are exactly K_coord, K_comp, K_prov, and K_audit. Durability and strategic behavior condition these channels or enter costs, losses, and externalities; they do not create a fifth positive channel.</w:t>
            </w:r>
          </w:p>
        </w:tc>
      </w:tr>
    </w:tbl>
    <w:p>
      <w:pPr>
        <w:spacing w:after="0"/>
      </w:pPr>
    </w:p>
    <w:p>
      <w:pPr>
        <w:pStyle w:val="Heading1"/>
        <w:keepNext/>
        <w:pageBreakBefore w:val="0"/>
        <w:spacing w:before="0" w:after="140"/>
      </w:pPr>
      <w:r>
        <w:rPr>
          <w:rFonts w:ascii="Liberation Sans" w:hAnsi="Liberation Sans" w:eastAsia="Liberation Sans"/>
          <w:b/>
          <w:i w:val="0"/>
          <w:color w:val="1F4E78"/>
          <w:sz w:val="31"/>
        </w:rPr>
        <w:t>9. Persistence and Durability</w:t>
      </w:r>
    </w:p>
    <w:p>
      <w:pPr>
        <w:pStyle w:val="BodyText"/>
        <w:keepLines w:val="0"/>
        <w:spacing w:before="0" w:after="100" w:line="259" w:lineRule="auto"/>
      </w:pPr>
      <w:r>
        <w:rPr>
          <w:rFonts w:ascii="Liberation Sans" w:hAnsi="Liberation Sans" w:eastAsia="Liberation Sans"/>
          <w:b w:val="0"/>
          <w:i w:val="0"/>
          <w:sz w:val="20"/>
        </w:rPr>
        <w:t>A persistent name is not a permanently available object. DOI infrastructure separates identifier names from maintained records and resolving locations. Hash-derived names bind retrieved bytes to a trusted digest but do not locate missing content. Memento supports temporal discovery but cannot guarantee a representative capture. Historical studies show link rot and content drift in specified corpora, not universal current decay constants. Robust Links preserve original URI, linking time, and snapshot pathways as an experimental mitigation pattern, not a permanence guarantee. [R16-R22]</w:t>
      </w:r>
    </w:p>
    <w:p>
      <w:pPr>
        <w:pStyle w:val="Heading2"/>
        <w:keepNext/>
        <w:pageBreakBefore w:val="0"/>
        <w:spacing w:before="160" w:after="80"/>
      </w:pPr>
      <w:r>
        <w:rPr>
          <w:rFonts w:ascii="Liberation Sans" w:hAnsi="Liberation Sans" w:eastAsia="Liberation Sans"/>
          <w:b/>
          <w:i w:val="0"/>
          <w:color w:val="2F75B5"/>
          <w:sz w:val="25"/>
        </w:rPr>
        <w:t>9.1 Usable path event</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E_m,t = A_m,t intersect V_m,t^target intersect S_m,t    (27)</w:t>
            </w:r>
          </w:p>
        </w:tc>
      </w:tr>
    </w:tbl>
    <w:p>
      <w:pPr>
        <w:spacing w:after="0"/>
      </w:pPr>
    </w:p>
    <w:p>
      <w:pPr>
        <w:pStyle w:val="BodyText"/>
        <w:keepLines w:val="0"/>
        <w:spacing w:before="0" w:after="100" w:line="259" w:lineRule="auto"/>
      </w:pPr>
      <w:r>
        <w:rPr>
          <w:rFonts w:ascii="Liberation Sans" w:hAnsi="Liberation Sans" w:eastAsia="Liberation Sans"/>
          <w:b w:val="0"/>
          <w:i w:val="0"/>
          <w:sz w:val="20"/>
        </w:rPr>
        <w:t>A_m,t is practical accessibility; V_m,t^target is target-anchored byte verification where an exact target exists; S_m,t is edition, identifier, scope, and metadata agreement. When no exact target digest exists, timestamp, provenance, or similarity evidence must be labeled weaker than byte verification.</w:t>
      </w:r>
    </w:p>
    <w:p>
      <w:pPr>
        <w:pStyle w:val="Heading2"/>
        <w:keepNext/>
        <w:pageBreakBefore w:val="0"/>
        <w:spacing w:before="160" w:after="80"/>
      </w:pPr>
      <w:r>
        <w:rPr>
          <w:rFonts w:ascii="Liberation Sans" w:hAnsi="Liberation Sans" w:eastAsia="Liberation Sans"/>
          <w:b/>
          <w:i w:val="0"/>
          <w:color w:val="2F75B5"/>
          <w:sz w:val="25"/>
        </w:rPr>
        <w:t>9.2 Correlation-aware redundancy</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p_usable,t = P_Gamma(union_m E_m,t)    (28)</w:t>
            </w:r>
          </w:p>
        </w:tc>
      </w:tr>
    </w:tbl>
    <w:p>
      <w:pPr>
        <w:spacing w:after="0"/>
      </w:pPr>
    </w:p>
    <w:p>
      <w:pPr>
        <w:pStyle w:val="BodyText"/>
        <w:keepLines w:val="0"/>
        <w:spacing w:before="0" w:after="100" w:line="259" w:lineRule="auto"/>
      </w:pPr>
      <w:r>
        <w:rPr>
          <w:rFonts w:ascii="Liberation Sans" w:hAnsi="Liberation Sans" w:eastAsia="Liberation Sans"/>
          <w:b w:val="0"/>
          <w:i w:val="0"/>
          <w:sz w:val="20"/>
        </w:rPr>
        <w:t>The product formula 1 - product_m(1-p_m,t) is permitted only under a defended independence assumption. Common gateways, resolvers, providers, credentials, operators, metadata services, legal constraints, and software stacks create dependence domains. Nominal copy count is not independent survival probability.</w:t>
      </w:r>
    </w:p>
    <w:p>
      <w:pPr>
        <w:pStyle w:val="Heading2"/>
        <w:keepNext/>
        <w:pageBreakBefore w:val="0"/>
        <w:spacing w:before="160" w:after="80"/>
      </w:pPr>
      <w:r>
        <w:rPr>
          <w:rFonts w:ascii="Liberation Sans" w:hAnsi="Liberation Sans" w:eastAsia="Liberation Sans"/>
          <w:b/>
          <w:i w:val="0"/>
          <w:color w:val="2F75B5"/>
          <w:sz w:val="25"/>
        </w:rPr>
        <w:t>9.3 Recurring preservation vector</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C_pres,b,t = C_store,b,t + C_meta,b,t + C_monitor,b,t + C_migrate,b,t + C_pres,verify,b,t + C_repair,b,t    (29)</w:t>
            </w:r>
          </w:p>
        </w:tc>
      </w:tr>
    </w:tbl>
    <w:p>
      <w:pPr>
        <w:spacing w:after="0"/>
      </w:pPr>
    </w:p>
    <w:p>
      <w:pPr>
        <w:pStyle w:val="BodyText"/>
        <w:keepLines w:val="0"/>
        <w:spacing w:before="0" w:after="100" w:line="259" w:lineRule="auto"/>
      </w:pPr>
      <w:r>
        <w:rPr>
          <w:rFonts w:ascii="Liberation Sans" w:hAnsi="Liberation Sans" w:eastAsia="Liberation Sans"/>
          <w:b w:val="0"/>
          <w:i w:val="0"/>
          <w:sz w:val="20"/>
        </w:rPr>
        <w:t>Per-use verification C_ver,event remains separate from preservation-level re-verification C_pres,verify. Shared archive costs and item-level marginal costs must be disclosed. Detected drift routed to repair cost may not also be charged as realized drift harm.</w:t>
      </w:r>
    </w:p>
    <w:p>
      <w:pPr>
        <w:pStyle w:val="Heading2"/>
        <w:keepNext/>
        <w:pageBreakBefore w:val="0"/>
        <w:spacing w:before="160" w:after="80"/>
      </w:pPr>
      <w:r>
        <w:rPr>
          <w:rFonts w:ascii="Liberation Sans" w:hAnsi="Liberation Sans" w:eastAsia="Liberation Sans"/>
          <w:b/>
          <w:i w:val="0"/>
          <w:color w:val="2F75B5"/>
          <w:sz w:val="25"/>
        </w:rPr>
        <w:t>9.4 Decay losses</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L_decay,t^exp = P_Gamma(not usable at t) L_unavailable,t + P_Gamma(drift at t and used) L_drift,t    (30)</w:t>
            </w:r>
          </w:p>
        </w:tc>
      </w:tr>
    </w:tbl>
    <w:p>
      <w:pPr>
        <w:spacing w:after="0"/>
      </w:pPr>
    </w:p>
    <w:p>
      <w:pPr>
        <w:pStyle w:val="BodyText"/>
        <w:keepLines w:val="0"/>
        <w:spacing w:before="0" w:after="100" w:line="259" w:lineRule="auto"/>
      </w:pPr>
      <w:r>
        <w:rPr>
          <w:rFonts w:ascii="Liberation Sans" w:hAnsi="Liberation Sans" w:eastAsia="Liberation Sans"/>
          <w:b w:val="0"/>
          <w:i w:val="0"/>
          <w:sz w:val="20"/>
        </w:rPr>
        <w:t>L_unavailable,t routes to C_fail by default; L_drift,t routes to C_div by default. An alternative route requires scenario-specific justification and one-charge reconciliation. Accessibility and content fidelity are separate observations: a live response can still deliver materially changed content.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20" w:type="dxa"/>
              <w:start w:w="150" w:type="dxa"/>
              <w:bottom w:w="120" w:type="dxa"/>
              <w:end w:w="150" w:type="dxa"/>
            </w:tcMar>
            <w:tcBorders>
              <w:top w:sz="8" w:val="single" w:color="C65911"/>
              <w:left w:sz="8" w:val="single" w:color="C65911"/>
              <w:bottom w:sz="8" w:val="single" w:color="C65911"/>
              <w:right w:sz="8" w:val="single" w:color="C65911"/>
            </w:tcBorders>
          </w:tcPr>
          <w:p>
            <w:pPr>
              <w:keepLines w:val="0"/>
              <w:spacing w:before="0" w:after="40" w:line="252" w:lineRule="auto"/>
            </w:pPr>
            <w:r>
              <w:rPr>
                <w:rFonts w:ascii="Liberation Sans" w:hAnsi="Liberation Sans" w:eastAsia="Liberation Sans"/>
                <w:b/>
                <w:i w:val="0"/>
                <w:color w:val="1F4E78"/>
                <w:sz w:val="20"/>
              </w:rPr>
              <w:t xml:space="preserve">DURABILITY BOUNDARY  </w:t>
            </w:r>
            <w:r>
              <w:rPr>
                <w:rFonts w:ascii="Liberation Sans" w:hAnsi="Liberation Sans" w:eastAsia="Liberation Sans"/>
                <w:b w:val="0"/>
                <w:i w:val="0"/>
                <w:sz w:val="20"/>
              </w:rPr>
              <w:t>Durability is a time-indexed eligibility, failure-risk, and recurring-cost layer. Intended permanence, a DOI, a hash, a snapshot, an Arweave transaction, or multiple mirrors does not guarantee future retrieval, historical fidelity, interpretation, or authority.</w:t>
            </w:r>
          </w:p>
        </w:tc>
      </w:tr>
    </w:tbl>
    <w:p>
      <w:pPr>
        <w:spacing w:after="0"/>
      </w:pPr>
    </w:p>
    <w:p>
      <w:pPr>
        <w:pStyle w:val="Heading1"/>
        <w:keepNext/>
        <w:pageBreakBefore w:val="0"/>
        <w:spacing w:before="0" w:after="140"/>
      </w:pPr>
      <w:r>
        <w:rPr>
          <w:rFonts w:ascii="Liberation Sans" w:hAnsi="Liberation Sans" w:eastAsia="Liberation Sans"/>
          <w:b/>
          <w:i w:val="0"/>
          <w:color w:val="1F4E78"/>
          <w:sz w:val="31"/>
        </w:rPr>
        <w:t>10. Strategic Reference Behavior</w:t>
      </w:r>
    </w:p>
    <w:p>
      <w:pPr>
        <w:pStyle w:val="BodyText"/>
        <w:keepLines w:val="0"/>
        <w:spacing w:before="0" w:after="100" w:line="259" w:lineRule="auto"/>
      </w:pPr>
      <w:r>
        <w:rPr>
          <w:rFonts w:ascii="Liberation Sans" w:hAnsi="Liberation Sans" w:eastAsia="Liberation Sans"/>
          <w:b w:val="0"/>
          <w:i w:val="0"/>
          <w:sz w:val="20"/>
        </w:rPr>
        <w:t>A sender may cite to inform, coordinate, persuade, signal diligence, transfer prestige, conceal missing evidence, inflate verification status, or reveal operational information. Strategic communication can remain partially informative under preference conflict; costly signals can separate types only under incentive-compatibility conditions; lying costs need not eliminate inflated language; and verifiable disclosure results depend on detectability, completeness, receiver inference, and cost. Digital signatures establish integrity and signatory-assurance functions under their assumptions, not truth, relevance, completeness, or authorization. [R23-R30]</w:t>
      </w:r>
    </w:p>
    <w:p>
      <w:pPr>
        <w:pStyle w:val="Heading2"/>
        <w:keepNext/>
        <w:pageBreakBefore w:val="0"/>
        <w:spacing w:before="160" w:after="80"/>
      </w:pPr>
      <w:r>
        <w:rPr>
          <w:rFonts w:ascii="Liberation Sans" w:hAnsi="Liberation Sans" w:eastAsia="Liberation Sans"/>
          <w:b/>
          <w:i w:val="0"/>
          <w:color w:val="2F75B5"/>
          <w:sz w:val="25"/>
        </w:rPr>
        <w:t>10.1 Layered message</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m = (r, c, z, sigma, D)    (31)</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6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Field</w:t>
            </w:r>
          </w:p>
        </w:tc>
        <w:tc>
          <w:tcPr>
            <w:tcW w:type="dxa" w:w="403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Meaning</w:t>
            </w:r>
          </w:p>
        </w:tc>
        <w:tc>
          <w:tcPr>
            <w:tcW w:type="dxa" w:w="489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Boundary</w:t>
            </w:r>
          </w:p>
        </w:tc>
      </w:tr>
      <w:tr>
        <w:tc>
          <w:tcPr>
            <w:tcW w:type="dxa" w:w="86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r</w:t>
            </w:r>
          </w:p>
        </w:tc>
        <w:tc>
          <w:tcPr>
            <w:tcW w:type="dxa" w:w="40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Pointer or artifact identifier.</w:t>
            </w:r>
          </w:p>
        </w:tc>
        <w:tc>
          <w:tcPr>
            <w:tcW w:type="dxa" w:w="48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 working pointer does not establish claim support.</w:t>
            </w:r>
          </w:p>
        </w:tc>
      </w:tr>
      <w:tr>
        <w:tc>
          <w:tcPr>
            <w:tcW w:type="dxa" w:w="86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w:t>
            </w:r>
          </w:p>
        </w:tc>
        <w:tc>
          <w:tcPr>
            <w:tcW w:type="dxa" w:w="40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Claim attributed to the source.</w:t>
            </w:r>
          </w:p>
        </w:tc>
        <w:tc>
          <w:tcPr>
            <w:tcW w:type="dxa" w:w="48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Must be tested through S_claim(c,s).</w:t>
            </w:r>
          </w:p>
        </w:tc>
      </w:tr>
      <w:tr>
        <w:tc>
          <w:tcPr>
            <w:tcW w:type="dxa" w:w="86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z</w:t>
            </w:r>
          </w:p>
        </w:tc>
        <w:tc>
          <w:tcPr>
            <w:tcW w:type="dxa" w:w="40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Status vector, such as verified, reviewed, authorized, or final.</w:t>
            </w:r>
          </w:p>
        </w:tc>
        <w:tc>
          <w:tcPr>
            <w:tcW w:type="dxa" w:w="48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Each status field needs its own evidence.</w:t>
            </w:r>
          </w:p>
        </w:tc>
      </w:tr>
      <w:tr>
        <w:tc>
          <w:tcPr>
            <w:tcW w:type="dxa" w:w="86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sigma</w:t>
            </w:r>
          </w:p>
        </w:tc>
        <w:tc>
          <w:tcPr>
            <w:tcW w:type="dxa" w:w="40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Signature or issuance evidence.</w:t>
            </w:r>
          </w:p>
        </w:tc>
        <w:tc>
          <w:tcPr>
            <w:tcW w:type="dxa" w:w="48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Valid issuance is not truth or authorization.</w:t>
            </w:r>
          </w:p>
        </w:tc>
      </w:tr>
      <w:tr>
        <w:tc>
          <w:tcPr>
            <w:tcW w:type="dxa" w:w="86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D</w:t>
            </w:r>
          </w:p>
        </w:tc>
        <w:tc>
          <w:tcPr>
            <w:tcW w:type="dxa" w:w="40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Disclosed evidence set.</w:t>
            </w:r>
          </w:p>
        </w:tc>
        <w:tc>
          <w:tcPr>
            <w:tcW w:type="dxa" w:w="48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Completeness and material omissions may be judgment-dependent.</w:t>
            </w:r>
          </w:p>
        </w:tc>
      </w:tr>
    </w:tbl>
    <w:p>
      <w:pPr>
        <w:spacing w:after="20"/>
      </w:pPr>
    </w:p>
    <w:p>
      <w:pPr>
        <w:pStyle w:val="Heading2"/>
        <w:keepNext/>
        <w:pageBreakBefore w:val="0"/>
        <w:spacing w:before="160" w:after="80"/>
      </w:pPr>
      <w:r>
        <w:rPr>
          <w:rFonts w:ascii="Liberation Sans" w:hAnsi="Liberation Sans" w:eastAsia="Liberation Sans"/>
          <w:b/>
          <w:i w:val="0"/>
          <w:color w:val="2F75B5"/>
          <w:sz w:val="25"/>
        </w:rPr>
        <w:t>10.2 Strategic events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Event</w:t>
            </w:r>
          </w:p>
        </w:tc>
        <w:tc>
          <w:tcPr>
            <w:tcW w:type="dxa" w:w="518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Definition or test</w:t>
            </w:r>
          </w:p>
        </w:tc>
        <w:tc>
          <w:tcPr>
            <w:tcW w:type="dxa" w:w="316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Accounting effect</w:t>
            </w:r>
          </w:p>
        </w:tc>
      </w:tr>
      <w:tr>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F_status</w:t>
            </w:r>
          </w:p>
        </w:tc>
        <w:tc>
          <w:tcPr>
            <w:tcW w:type="dxa" w:w="51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 material verification or authorization status is false, inflated, or unsupported.</w:t>
            </w:r>
          </w:p>
        </w:tc>
        <w:tc>
          <w:tcPr>
            <w:tcW w:type="dxa" w:w="316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C_mis, C_fail, or named externality.</w:t>
            </w:r>
          </w:p>
        </w:tc>
      </w:tr>
      <w:tr>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T_cit</w:t>
            </w:r>
          </w:p>
        </w:tc>
        <w:tc>
          <w:tcPr>
            <w:tcW w:type="dxa" w:w="518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Citation form or prestige is used as theater without task support.</w:t>
            </w:r>
          </w:p>
        </w:tc>
        <w:tc>
          <w:tcPr>
            <w:tcW w:type="dxa" w:w="316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Process burden and misrepresentation loss.</w:t>
            </w:r>
          </w:p>
        </w:tc>
      </w:tr>
      <w:tr>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S_select</w:t>
            </w:r>
          </w:p>
        </w:tc>
        <w:tc>
          <w:tcPr>
            <w:tcW w:type="dxa" w:w="51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Material evidence is withheld and full evidence would alter receiver action.</w:t>
            </w:r>
          </w:p>
        </w:tc>
        <w:tc>
          <w:tcPr>
            <w:tcW w:type="dxa" w:w="316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C_mis, C_fail, or externality, once.</w:t>
            </w:r>
          </w:p>
        </w:tc>
      </w:tr>
      <w:tr>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U_authority</w:t>
            </w:r>
          </w:p>
        </w:tc>
        <w:tc>
          <w:tcPr>
            <w:tcW w:type="dxa" w:w="518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The receiver is invited to infer unsupported authority from the cited artifact.</w:t>
            </w:r>
          </w:p>
        </w:tc>
        <w:tc>
          <w:tcPr>
            <w:tcW w:type="dxa" w:w="316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Judgment-dependent condition for laundering.</w:t>
            </w:r>
          </w:p>
        </w:tc>
      </w:tr>
      <w:tr>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A_launder</w:t>
            </w:r>
          </w:p>
        </w:tc>
        <w:tc>
          <w:tcPr>
            <w:tcW w:type="dxa" w:w="51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Authentic artifact, no claim support, and unsupported authority inference.</w:t>
            </w:r>
          </w:p>
        </w:tc>
        <w:tc>
          <w:tcPr>
            <w:tcW w:type="dxa" w:w="316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Strategic distortion, not provenance value.</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A_launder(c,s) = E_art(s) intersect not S_claim(c,s) intersect U_authority(c,s)    (32)</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C_mis,Gamma = sum_h P_Gamma(F_h) L_h    (33)</w:t>
            </w:r>
          </w:p>
          <w:p>
            <w:pPr>
              <w:keepLines w:val="0"/>
              <w:spacing w:before="60" w:after="0" w:line="240" w:lineRule="auto"/>
              <w:jc w:val="left"/>
            </w:pPr>
            <w:r>
              <w:rPr>
                <w:rFonts w:ascii="Liberation Sans" w:hAnsi="Liberation Sans" w:eastAsia="Liberation Sans"/>
                <w:b w:val="0"/>
                <w:i/>
                <w:color w:val="666666"/>
                <w:sz w:val="18"/>
              </w:rPr>
              <w:t>The indexed harms F_h must be materially distinct or reconciled before aggregation.</w:t>
            </w:r>
          </w:p>
        </w:tc>
      </w:tr>
    </w:tbl>
    <w:p>
      <w:pPr>
        <w:spacing w:after="0"/>
      </w:pPr>
    </w:p>
    <w:p>
      <w:pPr>
        <w:pStyle w:val="Heading2"/>
        <w:keepNext/>
        <w:pageBreakBefore w:val="0"/>
        <w:spacing w:before="160" w:after="80"/>
      </w:pPr>
      <w:r>
        <w:rPr>
          <w:rFonts w:ascii="Liberation Sans" w:hAnsi="Liberation Sans" w:eastAsia="Liberation Sans"/>
          <w:b/>
          <w:i w:val="0"/>
          <w:color w:val="2F75B5"/>
          <w:sz w:val="25"/>
        </w:rPr>
        <w:t>10.3 Costly-signal boundary</w:t>
      </w:r>
    </w:p>
    <w:p>
      <w:pPr>
        <w:pStyle w:val="BodyText"/>
        <w:keepLines w:val="0"/>
        <w:spacing w:before="0" w:after="100" w:line="259" w:lineRule="auto"/>
      </w:pPr>
      <w:r>
        <w:rPr>
          <w:rFonts w:ascii="Liberation Sans" w:hAnsi="Liberation Sans" w:eastAsia="Liberation Sans"/>
          <w:b w:val="0"/>
          <w:i w:val="0"/>
          <w:sz w:val="20"/>
        </w:rPr>
        <w:t>A costly archive deposit, signature ceremony, long bibliography, blockchain transaction, or preservation expense can affect beliefs only under disclosed type-dependent costs and benefits. Expenditure alone is not truth. If low-quality or deceptive types can imitate the signal profitably, separation collapses.</w:t>
      </w:r>
    </w:p>
    <w:p>
      <w:pPr>
        <w:pStyle w:val="Heading2"/>
        <w:keepNext/>
        <w:pageBreakBefore w:val="0"/>
        <w:spacing w:before="160" w:after="80"/>
      </w:pPr>
      <w:r>
        <w:rPr>
          <w:rFonts w:ascii="Liberation Sans" w:hAnsi="Liberation Sans" w:eastAsia="Liberation Sans"/>
          <w:b/>
          <w:i w:val="0"/>
          <w:color w:val="2F75B5"/>
          <w:sz w:val="25"/>
        </w:rPr>
        <w:t>10.4 Strategic leakage</w:t>
      </w:r>
    </w:p>
    <w:p>
      <w:pPr>
        <w:pStyle w:val="BodyText"/>
        <w:keepLines w:val="0"/>
        <w:spacing w:before="0" w:after="100" w:line="259" w:lineRule="auto"/>
      </w:pPr>
      <w:r>
        <w:rPr>
          <w:rFonts w:ascii="Liberation Sans" w:hAnsi="Liberation Sans" w:eastAsia="Liberation Sans"/>
          <w:b w:val="0"/>
          <w:i w:val="0"/>
          <w:sz w:val="20"/>
        </w:rPr>
        <w:t>The act of citing may reveal identity, priorities, evidence state, operational scope, intended action, or confidence. These effects can be positive, negative, or strategically exploited. They belong in the relevant signed channel, C_mis, C_fail, or a named externality under the one-charge rule.</w:t>
      </w:r>
    </w:p>
    <w:p>
      <w:pPr>
        <w:pStyle w:val="Heading1"/>
        <w:keepNext/>
        <w:pageBreakBefore w:val="0"/>
        <w:spacing w:before="0" w:after="140"/>
      </w:pPr>
      <w:r>
        <w:rPr>
          <w:rFonts w:ascii="Liberation Sans" w:hAnsi="Liberation Sans" w:eastAsia="Liberation Sans"/>
          <w:b/>
          <w:i w:val="0"/>
          <w:color w:val="1F4E78"/>
          <w:sz w:val="31"/>
        </w:rPr>
        <w:t>11. Integrated Static and Dynamic Premium</w:t>
      </w:r>
    </w:p>
    <w:p>
      <w:pPr>
        <w:pStyle w:val="Heading2"/>
        <w:keepNext/>
        <w:pageBreakBefore w:val="0"/>
        <w:spacing w:before="160" w:after="80"/>
      </w:pPr>
      <w:r>
        <w:rPr>
          <w:rFonts w:ascii="Liberation Sans" w:hAnsi="Liberation Sans" w:eastAsia="Liberation Sans"/>
          <w:b/>
          <w:i w:val="0"/>
          <w:color w:val="2F75B5"/>
          <w:sz w:val="25"/>
        </w:rPr>
        <w:t>11.1 Absolute branch primitives</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W_b,Gamma = E_Gamma[ U_task,b - Lambda_coord,b,Gamma - Lambda_prov,b,Gamma - Lambda_audit,b,Gamma - C_tx,b,Gamma - sum_j C_proc,b,j,Gamma - C_fail,b,Gamma - C_div,b,Gamma - C_mis,b,Gamma - C_other,b,Gamma ]    (34)</w:t>
            </w:r>
          </w:p>
        </w:tc>
      </w:tr>
    </w:tbl>
    <w:p>
      <w:pPr>
        <w:spacing w:after="0"/>
      </w:pPr>
    </w:p>
    <w:p>
      <w:pPr>
        <w:pStyle w:val="BodyText"/>
        <w:keepLines w:val="0"/>
        <w:spacing w:before="0" w:after="100" w:line="259" w:lineRule="auto"/>
      </w:pPr>
      <w:r>
        <w:rPr>
          <w:rFonts w:ascii="Liberation Sans" w:hAnsi="Liberation Sans" w:eastAsia="Liberation Sans"/>
          <w:b w:val="0"/>
          <w:i w:val="0"/>
          <w:sz w:val="20"/>
        </w:rPr>
        <w:t>Lambda_coord,b, Lambda_prov,b, and Lambda_audit,b are branch-level expected loss primitives. C_tx,b is absolute sender/channel transmission cost. The four K channels are cross-branch differences, not branch-indexed addends: for example, K_coord = E[Lambda_coord,alt - Lambda_coord,ref] and K_comp = E[C_tx,alt - C_tx,ref].</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Pi_ref,Gamma = W_ref,Gamma - W_alt,Gamma    (35)</w:t>
            </w:r>
          </w:p>
        </w:tc>
      </w:tr>
    </w:tbl>
    <w:p>
      <w:pPr>
        <w:spacing w:after="0"/>
      </w:pPr>
    </w:p>
    <w:p>
      <w:pPr>
        <w:pStyle w:val="Heading2"/>
        <w:keepNext/>
        <w:pageBreakBefore w:val="0"/>
        <w:spacing w:before="160" w:after="80"/>
      </w:pPr>
      <w:r>
        <w:rPr>
          <w:rFonts w:ascii="Liberation Sans" w:hAnsi="Liberation Sans" w:eastAsia="Liberation Sans"/>
          <w:b/>
          <w:i w:val="0"/>
          <w:color w:val="2F75B5"/>
          <w:sz w:val="25"/>
        </w:rPr>
        <w:t>11.2 Decomposed reconciliation</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Pi_ref,Gamma = Delta U_task,Gamma + K_coord,Gamma + K_comp,Gamma + K_prov,Gamma + K_audit,Gamma - Delta C_tot,Gamma    (36)</w:t>
            </w:r>
          </w:p>
        </w:tc>
      </w:tr>
    </w:tbl>
    <w:p>
      <w:pPr>
        <w:spacing w:after="0"/>
      </w:pPr>
    </w:p>
    <w:p>
      <w:pPr>
        <w:pStyle w:val="BodyText"/>
        <w:keepLines w:val="0"/>
        <w:spacing w:before="0" w:after="100" w:line="259" w:lineRule="auto"/>
      </w:pPr>
      <w:r>
        <w:rPr>
          <w:rFonts w:ascii="Liberation Sans" w:hAnsi="Liberation Sans" w:eastAsia="Liberation Sans"/>
          <w:b w:val="0"/>
          <w:i w:val="0"/>
          <w:sz w:val="20"/>
        </w:rPr>
        <w:t>Delta U_task is the expected task-utility difference between branches. Delta C_tot is the net difference across non-transmission terminal costs and named externalities. Equation 36 must reconcile exactly with the two absolute values in Equation 34. A one-sided shortcut is permitted only when the omitted alternative-side quantity is explicitly zero under Gamma.</w:t>
      </w:r>
    </w:p>
    <w:p>
      <w:pPr>
        <w:pStyle w:val="Heading2"/>
        <w:keepNext/>
        <w:pageBreakBefore w:val="0"/>
        <w:spacing w:before="160" w:after="80"/>
      </w:pPr>
      <w:r>
        <w:rPr>
          <w:rFonts w:ascii="Liberation Sans" w:hAnsi="Liberation Sans" w:eastAsia="Liberation Sans"/>
          <w:b/>
          <w:i w:val="0"/>
          <w:color w:val="2F75B5"/>
          <w:sz w:val="25"/>
        </w:rPr>
        <w:t>11.3 Dynamic premium</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K_ref,t = K_coord,t + K_comp,t + K_prov,t + K_audit,t    (37)</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Pi_ref,Gamma^dyn(T) = - Delta C_setup + sum_(t=0)^T beta^t E_Gamma[ Delta U_task,t + K_ref,t - Delta C_tot,t - Delta C_pres,t ]    (38)</w:t>
            </w:r>
          </w:p>
        </w:tc>
      </w:tr>
    </w:tbl>
    <w:p>
      <w:pPr>
        <w:spacing w:after="0"/>
      </w:pPr>
    </w:p>
    <w:p>
      <w:pPr>
        <w:pStyle w:val="BodyText"/>
        <w:keepLines w:val="0"/>
        <w:spacing w:before="0" w:after="100" w:line="259" w:lineRule="auto"/>
      </w:pPr>
      <w:r>
        <w:rPr>
          <w:rFonts w:ascii="Liberation Sans" w:hAnsi="Liberation Sans" w:eastAsia="Liberation Sans"/>
          <w:b w:val="0"/>
          <w:i w:val="0"/>
          <w:sz w:val="20"/>
        </w:rPr>
        <w:t>K_ref,t is shorthand for the four-channel sum, not a fifth channel. Delta C_tot,t expressly excludes preservation components charged through Delta C_pres,t. Setup and preservation terms are both-sided differentials. A one-sided form is valid only when the corresponding alternative-side setup or preservation cost is explicitly zero. For a finite horizon, 0 &lt;= beta &lt;= 1. For an infinite horizon, beta &lt; 1 is necessary but not sufficient; the discounted expected sequence must converge.</w:t>
      </w:r>
    </w:p>
    <w:p>
      <w:pPr>
        <w:pStyle w:val="Heading2"/>
        <w:keepNext/>
        <w:pageBreakBefore w:val="0"/>
        <w:spacing w:before="160" w:after="80"/>
      </w:pPr>
      <w:r>
        <w:rPr>
          <w:rFonts w:ascii="Liberation Sans" w:hAnsi="Liberation Sans" w:eastAsia="Liberation Sans"/>
          <w:b/>
          <w:i w:val="0"/>
          <w:color w:val="2F75B5"/>
          <w:sz w:val="25"/>
        </w:rPr>
        <w:t>11.4 One-charge rule</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20" w:type="dxa"/>
              <w:start w:w="150" w:type="dxa"/>
              <w:bottom w:w="120" w:type="dxa"/>
              <w:end w:w="150" w:type="dxa"/>
            </w:tcMar>
            <w:tcBorders>
              <w:top w:sz="8" w:val="single" w:color="70AD47"/>
              <w:left w:sz="8" w:val="single" w:color="70AD47"/>
              <w:bottom w:sz="8" w:val="single" w:color="70AD47"/>
              <w:right w:sz="8" w:val="single" w:color="70AD47"/>
            </w:tcBorders>
          </w:tcPr>
          <w:p>
            <w:pPr>
              <w:keepLines w:val="0"/>
              <w:spacing w:before="0" w:after="40" w:line="252" w:lineRule="auto"/>
            </w:pPr>
            <w:r>
              <w:rPr>
                <w:rFonts w:ascii="Liberation Sans" w:hAnsi="Liberation Sans" w:eastAsia="Liberation Sans"/>
                <w:b/>
                <w:i w:val="0"/>
                <w:color w:val="1F4E78"/>
                <w:sz w:val="20"/>
              </w:rPr>
              <w:t xml:space="preserve">ONE-CHARGE RULE  </w:t>
            </w:r>
            <w:r>
              <w:rPr>
                <w:rFonts w:ascii="Liberation Sans" w:hAnsi="Liberation Sans" w:eastAsia="Liberation Sans"/>
                <w:b w:val="0"/>
                <w:i w:val="0"/>
                <w:sz w:val="20"/>
              </w:rPr>
              <w:t>A concrete unit of traffic, labor, delay, ambiguity, crowd-out, disclosure leakage, fallback, divergence, misrepresentation, or external harm receives exactly one accounting address in a given application. Events may overlap. Concrete harms may not be duplicated.</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Terminal address</w:t>
            </w:r>
          </w:p>
        </w:tc>
        <w:tc>
          <w:tcPr>
            <w:tcW w:type="dxa" w:w="432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Contents</w:t>
            </w:r>
          </w:p>
        </w:tc>
        <w:tc>
          <w:tcPr>
            <w:tcW w:type="dxa" w:w="403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Exclusion</w:t>
            </w:r>
          </w:p>
        </w:tc>
      </w:tr>
      <w:tr>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U_task</w:t>
            </w:r>
          </w:p>
        </w:tc>
        <w:tc>
          <w:tcPr>
            <w:tcW w:type="dxa" w:w="43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Direct authorized task utility.</w:t>
            </w:r>
          </w:p>
        </w:tc>
        <w:tc>
          <w:tcPr>
            <w:tcW w:type="dxa" w:w="40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Do not hide channel value or externalities here.</w:t>
            </w:r>
          </w:p>
        </w:tc>
      </w:tr>
      <w:tr>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K_coord</w:t>
            </w:r>
          </w:p>
        </w:tc>
        <w:tc>
          <w:tcPr>
            <w:tcW w:type="dxa" w:w="43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Cross-branch coordination-loss difference.</w:t>
            </w:r>
          </w:p>
        </w:tc>
        <w:tc>
          <w:tcPr>
            <w:tcW w:type="dxa" w:w="40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No duplicate common-mode or timing harm.</w:t>
            </w:r>
          </w:p>
        </w:tc>
      </w:tr>
      <w:tr>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K_comp</w:t>
            </w:r>
          </w:p>
        </w:tc>
        <w:tc>
          <w:tcPr>
            <w:tcW w:type="dxa" w:w="43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Cross-branch sender/channel transmission difference.</w:t>
            </w:r>
          </w:p>
        </w:tc>
        <w:tc>
          <w:tcPr>
            <w:tcW w:type="dxa" w:w="40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No recipient retrieval, verification, or interpretation.</w:t>
            </w:r>
          </w:p>
        </w:tc>
      </w:tr>
      <w:tr>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K_prov</w:t>
            </w:r>
          </w:p>
        </w:tc>
        <w:tc>
          <w:tcPr>
            <w:tcW w:type="dxa" w:w="43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Cross-branch origin/version dispute-loss difference.</w:t>
            </w:r>
          </w:p>
        </w:tc>
        <w:tc>
          <w:tcPr>
            <w:tcW w:type="dxa" w:w="40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No truth or authority inference.</w:t>
            </w:r>
          </w:p>
        </w:tc>
      </w:tr>
      <w:tr>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K_audit</w:t>
            </w:r>
          </w:p>
        </w:tc>
        <w:tc>
          <w:tcPr>
            <w:tcW w:type="dxa" w:w="43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Cross-branch authorized audit-misclassification difference.</w:t>
            </w:r>
          </w:p>
        </w:tc>
        <w:tc>
          <w:tcPr>
            <w:tcW w:type="dxa" w:w="40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Corrective labor remains C_proc.</w:t>
            </w:r>
          </w:p>
        </w:tc>
      </w:tr>
      <w:tr>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C_proc</w:t>
            </w:r>
          </w:p>
        </w:tc>
        <w:tc>
          <w:tcPr>
            <w:tcW w:type="dxa" w:w="43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Access, receiving, verification, interpretation, and handling.</w:t>
            </w:r>
          </w:p>
        </w:tc>
        <w:tc>
          <w:tcPr>
            <w:tcW w:type="dxa" w:w="40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No sender transmission already in K_comp.</w:t>
            </w:r>
          </w:p>
        </w:tc>
      </w:tr>
      <w:tr>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C_fail</w:t>
            </w:r>
          </w:p>
        </w:tc>
        <w:tc>
          <w:tcPr>
            <w:tcW w:type="dxa" w:w="43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Incremental task or decision failure consequence.</w:t>
            </w:r>
          </w:p>
        </w:tc>
        <w:tc>
          <w:tcPr>
            <w:tcW w:type="dxa" w:w="40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Do not repeat process effort or transmission.</w:t>
            </w:r>
          </w:p>
        </w:tc>
      </w:tr>
      <w:tr>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C_div</w:t>
            </w:r>
          </w:p>
        </w:tc>
        <w:tc>
          <w:tcPr>
            <w:tcW w:type="dxa" w:w="43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Version, edition, temporal, or scope divergence loss.</w:t>
            </w:r>
          </w:p>
        </w:tc>
        <w:tc>
          <w:tcPr>
            <w:tcW w:type="dxa" w:w="40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Do not repeat drift repair cost.</w:t>
            </w:r>
          </w:p>
        </w:tc>
      </w:tr>
      <w:tr>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C_mis</w:t>
            </w:r>
          </w:p>
        </w:tc>
        <w:tc>
          <w:tcPr>
            <w:tcW w:type="dxa" w:w="43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Misrepresentation, false status, unsupported reliance, or strategic distortion.</w:t>
            </w:r>
          </w:p>
        </w:tc>
        <w:tc>
          <w:tcPr>
            <w:tcW w:type="dxa" w:w="40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Harms must be disjointly defined or reconciled.</w:t>
            </w:r>
          </w:p>
        </w:tc>
      </w:tr>
      <w:tr>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C_pres</w:t>
            </w:r>
          </w:p>
        </w:tc>
        <w:tc>
          <w:tcPr>
            <w:tcW w:type="dxa" w:w="43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Storage, metadata, monitoring, migration, preservation verification, and repair.</w:t>
            </w:r>
          </w:p>
        </w:tc>
        <w:tc>
          <w:tcPr>
            <w:tcW w:type="dxa" w:w="40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Separate from per-use verification.</w:t>
            </w:r>
          </w:p>
        </w:tc>
      </w:tr>
      <w:tr>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C_other</w:t>
            </w:r>
          </w:p>
        </w:tc>
        <w:tc>
          <w:tcPr>
            <w:tcW w:type="dxa" w:w="43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Residual named cost not already represented.</w:t>
            </w:r>
          </w:p>
        </w:tc>
        <w:tc>
          <w:tcPr>
            <w:tcW w:type="dxa" w:w="40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May not absorb a specified term.</w:t>
            </w:r>
          </w:p>
        </w:tc>
      </w:tr>
    </w:tbl>
    <w:p>
      <w:pPr>
        <w:spacing w:after="20"/>
      </w:pPr>
    </w:p>
    <w:p>
      <w:pPr>
        <w:pStyle w:val="Heading1"/>
        <w:keepNext/>
        <w:pageBreakBefore w:val="0"/>
        <w:spacing w:before="0" w:after="140"/>
      </w:pPr>
      <w:r>
        <w:rPr>
          <w:rFonts w:ascii="Liberation Sans" w:hAnsi="Liberation Sans" w:eastAsia="Liberation Sans"/>
          <w:b/>
          <w:i w:val="0"/>
          <w:color w:val="1F4E78"/>
          <w:sz w:val="31"/>
        </w:rPr>
        <w:t>12. Identification, Calibration, and Uncertainty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20" w:type="dxa"/>
              <w:start w:w="150" w:type="dxa"/>
              <w:bottom w:w="120" w:type="dxa"/>
              <w:end w:w="150" w:type="dxa"/>
            </w:tcMar>
            <w:tcBorders>
              <w:top w:sz="8" w:val="single" w:color="BF9000"/>
              <w:left w:sz="8" w:val="single" w:color="BF9000"/>
              <w:bottom w:sz="8" w:val="single" w:color="BF9000"/>
              <w:right w:sz="8" w:val="single" w:color="BF9000"/>
            </w:tcBorders>
          </w:tcPr>
          <w:p>
            <w:pPr>
              <w:keepLines w:val="0"/>
              <w:spacing w:before="0" w:after="40" w:line="252" w:lineRule="auto"/>
            </w:pPr>
            <w:r>
              <w:rPr>
                <w:rFonts w:ascii="Liberation Sans" w:hAnsi="Liberation Sans"/>
                <w:b/>
                <w:i w:val="0"/>
                <w:color w:val="1F4E78"/>
                <w:sz w:val="20"/>
              </w:rPr>
              <w:t>MANDATORY TECHNICAL SPINE</w:t>
              <w:br/>
              <w:t>Formal notation does not establish observability, empirical identification, calibration, or normative authority. Before the first numerical premium, every input must be classified across evidence status, quantification form, calibration basis, dependencies, accounting address, and the mandatory reporting rule R(x), including unresolved status and reason where applicable.</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L(x) = [ I(x), Q(x), C(x), D(x), A(x), R(x) ]    (39)</w:t>
            </w:r>
          </w:p>
          <w:p>
            <w:pPr>
              <w:keepLines w:val="0"/>
              <w:spacing w:before="60" w:after="0" w:line="240" w:lineRule="auto"/>
              <w:jc w:val="left"/>
            </w:pPr>
            <w:r>
              <w:rPr>
                <w:rFonts w:ascii="Liberation Sans" w:hAnsi="Liberation Sans" w:eastAsia="Liberation Sans"/>
                <w:b w:val="0"/>
                <w:i/>
                <w:color w:val="666666"/>
                <w:sz w:val="18"/>
              </w:rPr>
              <w:t>Identification status, quantification form, calibration basis, dependencies, accounting/authority record, and mandatory reporting rule for input x.</w:t>
            </w:r>
          </w:p>
        </w:tc>
      </w:tr>
    </w:tbl>
    <w:p>
      <w:pPr>
        <w:spacing w:after="0"/>
      </w:pPr>
    </w:p>
    <w:p>
      <w:pPr>
        <w:pStyle w:val="BodyText"/>
        <w:keepLines w:val="0"/>
        <w:spacing w:before="0" w:after="100" w:line="259" w:lineRule="auto"/>
      </w:pPr>
      <w:r>
        <w:rPr>
          <w:rFonts w:ascii="Liberation Sans" w:hAnsi="Liberation Sans" w:eastAsia="Liberation Sans"/>
          <w:b w:val="0"/>
          <w:i w:val="0"/>
          <w:sz w:val="20"/>
        </w:rPr>
        <w:t>R(x) states the disclosure required whenever x is used, including its evidence boundary, unresolved status, prohibited inference, and any scenario or special-case condition. In the companion schema, disclosure_note and related boundary fields implement the machine-readable portion of R(x); they do not remove the formal reporting field from the ledger.</w:t>
      </w:r>
    </w:p>
    <w:p>
      <w:pPr>
        <w:pStyle w:val="Heading2"/>
        <w:keepNext/>
        <w:pageBreakBefore w:val="0"/>
        <w:spacing w:before="160" w:after="80"/>
      </w:pPr>
      <w:r>
        <w:rPr>
          <w:rFonts w:ascii="Liberation Sans" w:hAnsi="Liberation Sans" w:eastAsia="Liberation Sans"/>
          <w:b/>
          <w:i w:val="0"/>
          <w:color w:val="2F75B5"/>
          <w:sz w:val="25"/>
        </w:rPr>
        <w:t>12.1 Identification axis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Code</w:t>
            </w:r>
          </w:p>
        </w:tc>
        <w:tc>
          <w:tcPr>
            <w:tcW w:type="dxa" w:w="302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Class</w:t>
            </w:r>
          </w:p>
        </w:tc>
        <w:tc>
          <w:tcPr>
            <w:tcW w:type="dxa" w:w="597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Publication treatment</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I1</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Directly observed</w:t>
            </w:r>
          </w:p>
        </w:tc>
        <w:tc>
          <w:tcPr>
            <w:tcW w:type="dxa" w:w="597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State instrument or system, unit, time, scope, missingness, and measurement limits.</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I2</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Reproducibly machine-verifiable</w:t>
            </w:r>
          </w:p>
        </w:tc>
        <w:tc>
          <w:tcPr>
            <w:tcW w:type="dxa" w:w="597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State target, algorithm, key material, environment, and what remains unproven.</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I3</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Externally verifiable with dependencies</w:t>
            </w:r>
          </w:p>
        </w:tc>
        <w:tc>
          <w:tcPr>
            <w:tcW w:type="dxa" w:w="597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Name registry, authority, identity chain, policy, and failure dependencies.</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I4</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Historically estimated</w:t>
            </w:r>
          </w:p>
        </w:tc>
        <w:tc>
          <w:tcPr>
            <w:tcW w:type="dxa" w:w="597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Report corpus, period, estimator, interval, transfer limits, and drift.</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I5</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Model-inferred or model-estimated</w:t>
            </w:r>
          </w:p>
        </w:tc>
        <w:tc>
          <w:tcPr>
            <w:tcW w:type="dxa" w:w="597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State model, priors, dependence, alternatives, fit limits, and sensitivity.</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I6</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Self-reported or asserted</w:t>
            </w:r>
          </w:p>
        </w:tc>
        <w:tc>
          <w:tcPr>
            <w:tcW w:type="dxa" w:w="597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Preserve speaker, wording, time, scope, and corroboration status.</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I7</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Judgment-dependent</w:t>
            </w:r>
          </w:p>
        </w:tc>
        <w:tc>
          <w:tcPr>
            <w:tcW w:type="dxa" w:w="597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State reviewer, criteria, evidence set, disagreement procedure, and contestability.</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I8</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Normative or authority-fixed</w:t>
            </w:r>
          </w:p>
        </w:tc>
        <w:tc>
          <w:tcPr>
            <w:tcW w:type="dxa" w:w="597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Identify authorized objective, weights, loss severity, and participant scope.</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I9</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Scenario-fixed assumption</w:t>
            </w:r>
          </w:p>
        </w:tc>
        <w:tc>
          <w:tcPr>
            <w:tcW w:type="dxa" w:w="597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Label as a modeling choice and vary adequacy in sensitivity analysis.</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I10</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Partially identified or bounded</w:t>
            </w:r>
          </w:p>
        </w:tc>
        <w:tc>
          <w:tcPr>
            <w:tcW w:type="dxa" w:w="597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Report admissible set and assumptions supporting the bounds.</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I11</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Unidentified</w:t>
            </w:r>
          </w:p>
        </w:tc>
        <w:tc>
          <w:tcPr>
            <w:tcW w:type="dxa" w:w="597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Do not assign false precision; use scenarios, thresholds, or qualitative conclusions.</w:t>
            </w:r>
          </w:p>
        </w:tc>
      </w:tr>
    </w:tbl>
    <w:p>
      <w:pPr>
        <w:spacing w:after="20"/>
      </w:pPr>
    </w:p>
    <w:p>
      <w:pPr>
        <w:pStyle w:val="Heading2"/>
        <w:keepNext/>
        <w:pageBreakBefore w:val="0"/>
        <w:spacing w:before="160" w:after="80"/>
      </w:pPr>
      <w:r>
        <w:rPr>
          <w:rFonts w:ascii="Liberation Sans" w:hAnsi="Liberation Sans" w:eastAsia="Liberation Sans"/>
          <w:b/>
          <w:i w:val="0"/>
          <w:color w:val="2F75B5"/>
          <w:sz w:val="25"/>
        </w:rPr>
        <w:t>12.2 Quantification and calibration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Axis</w:t>
            </w:r>
          </w:p>
        </w:tc>
        <w:tc>
          <w:tcPr>
            <w:tcW w:type="dxa" w:w="784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Codes</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Q - quantification</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Q1 point; Q2 interval; Q3 distributional; Q4 set-valued; Q5 scenario-valued; Q6 qualitative ordered; Q7 unquantified.</w:t>
            </w:r>
          </w:p>
        </w:tc>
      </w:tr>
      <w:tr>
        <w:tc>
          <w:tcPr>
            <w:tcW w:type="dxa" w:w="19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C - calibration</w:t>
            </w:r>
          </w:p>
        </w:tc>
        <w:tc>
          <w:tcPr>
            <w:tcW w:type="dxa" w:w="78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C1 direct measurement; C2 controlled test; C3 historical estimate; C4 model estimate; C5 expert or reviewer judgment; C6 authorized normative choice; C7 scenario assumption; C8 illustrative unit; C9 uncalibrated.</w:t>
            </w:r>
          </w:p>
        </w:tc>
      </w:tr>
    </w:tbl>
    <w:p>
      <w:pPr>
        <w:spacing w:after="20"/>
      </w:pPr>
    </w:p>
    <w:p>
      <w:pPr>
        <w:pStyle w:val="BodyText"/>
        <w:keepLines w:val="0"/>
        <w:spacing w:before="0" w:after="100" w:line="259" w:lineRule="auto"/>
      </w:pPr>
      <w:r>
        <w:rPr>
          <w:rFonts w:ascii="Liberation Sans" w:hAnsi="Liberation Sans" w:eastAsia="Liberation Sans"/>
          <w:b w:val="0"/>
          <w:i w:val="0"/>
          <w:sz w:val="20"/>
        </w:rPr>
        <w:t>Identification and calibration are separate. A model may assign an illustrative value to an unidentified parameter for sensitivity analysis without converting it into an empirical estimate. An observed value may still be noisy or interval-valued. A judgment-dependent event may be represented by a scenario set without becoming machine-verifiable.</w:t>
      </w:r>
    </w:p>
    <w:p>
      <w:pPr>
        <w:pStyle w:val="Heading2"/>
        <w:keepNext/>
        <w:pageBreakBefore w:val="0"/>
        <w:spacing w:before="160" w:after="80"/>
      </w:pPr>
      <w:r>
        <w:rPr>
          <w:rFonts w:ascii="Liberation Sans" w:hAnsi="Liberation Sans" w:eastAsia="Liberation Sans"/>
          <w:b/>
          <w:i w:val="0"/>
          <w:color w:val="2F75B5"/>
          <w:sz w:val="25"/>
        </w:rPr>
        <w:t>12.3 Robust sign</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Theta_Gamma = disclosed admissible set of parameter values and dependence structures    (40)</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Pi_lower = inf_(theta in Theta_Gamma) Pi_ref,Gamma(theta) ;   Pi_upper = sup_(theta in Theta_Gamma) Pi_ref,Gamma(theta)    (41)</w:t>
            </w:r>
          </w:p>
        </w:tc>
      </w:tr>
    </w:tbl>
    <w:p>
      <w:pPr>
        <w:spacing w:after="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Condition</w:t>
            </w:r>
          </w:p>
        </w:tc>
        <w:tc>
          <w:tcPr>
            <w:tcW w:type="dxa" w:w="676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Permitted conclusion</w:t>
            </w:r>
          </w:p>
        </w:tc>
      </w:tr>
      <w:tr>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Pi_lower &gt; 0</w:t>
            </w:r>
          </w:p>
        </w:tc>
        <w:tc>
          <w:tcPr>
            <w:tcW w:type="dxa" w:w="676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Robustly positive over the disclosed admissible set.</w:t>
            </w:r>
          </w:p>
        </w:tc>
      </w:tr>
      <w:tr>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Pi_upper &lt; 0</w:t>
            </w:r>
          </w:p>
        </w:tc>
        <w:tc>
          <w:tcPr>
            <w:tcW w:type="dxa" w:w="676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Robustly negative over the disclosed admissible set.</w:t>
            </w:r>
          </w:p>
        </w:tc>
      </w:tr>
      <w:tr>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Pi_lower &lt;= 0 &lt;= Pi_upper</w:t>
            </w:r>
          </w:p>
        </w:tc>
        <w:tc>
          <w:tcPr>
            <w:tcW w:type="dxa" w:w="676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Sign-indeterminate; report the reversal drivers or threshold.</w:t>
            </w:r>
          </w:p>
        </w:tc>
      </w:tr>
      <w:tr>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No defensible finite bounds</w:t>
            </w:r>
          </w:p>
        </w:tc>
        <w:tc>
          <w:tcPr>
            <w:tcW w:type="dxa" w:w="676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No quantitative sign claim; retain qualitative or threshold conclusions.</w:t>
            </w:r>
          </w:p>
        </w:tc>
      </w:tr>
    </w:tbl>
    <w:p>
      <w:pPr>
        <w:spacing w:after="20"/>
      </w:pPr>
    </w:p>
    <w:p>
      <w:pPr>
        <w:pStyle w:val="Heading2"/>
        <w:keepNext/>
        <w:pageBreakBefore w:val="0"/>
        <w:spacing w:before="160" w:after="80"/>
      </w:pPr>
      <w:r>
        <w:rPr>
          <w:rFonts w:ascii="Liberation Sans" w:hAnsi="Liberation Sans" w:eastAsia="Liberation Sans"/>
          <w:b/>
          <w:i w:val="0"/>
          <w:color w:val="2F75B5"/>
          <w:sz w:val="25"/>
        </w:rPr>
        <w:t>12.4 No zero by omission</w:t>
      </w:r>
    </w:p>
    <w:p>
      <w:pPr>
        <w:pStyle w:val="BodyText"/>
        <w:keepLines w:val="0"/>
        <w:spacing w:before="0" w:after="100" w:line="259" w:lineRule="auto"/>
      </w:pPr>
      <w:r>
        <w:rPr>
          <w:rFonts w:ascii="Liberation Sans" w:hAnsi="Liberation Sans" w:eastAsia="Liberation Sans"/>
          <w:b w:val="0"/>
          <w:i w:val="0"/>
          <w:sz w:val="20"/>
        </w:rPr>
        <w:t>An omitted externality, unknown belief state, hidden evidence set, unmeasured maintenance burden, or unresolved dependence is not zero. It must be named, bounded, varied, or left explicitly unquantified. Every worked-case number below is illustrative-only unless otherwise stated; no unit is a dollar, probability estimate, prevalence rate, or empirical calibration.</w:t>
      </w:r>
    </w:p>
    <w:p>
      <w:pPr>
        <w:pStyle w:val="Heading1"/>
        <w:keepNext/>
        <w:pageBreakBefore w:val="0"/>
        <w:spacing w:before="0" w:after="140"/>
      </w:pPr>
      <w:r>
        <w:rPr>
          <w:rFonts w:ascii="Liberation Sans" w:hAnsi="Liberation Sans" w:eastAsia="Liberation Sans"/>
          <w:b/>
          <w:i w:val="0"/>
          <w:color w:val="1F4E78"/>
          <w:sz w:val="31"/>
        </w:rPr>
        <w:t>13. Worked Cases</w:t>
      </w:r>
    </w:p>
    <w:p>
      <w:pPr>
        <w:pStyle w:val="BodyText"/>
        <w:keepLines w:val="0"/>
        <w:spacing w:before="0" w:after="100" w:line="259" w:lineRule="auto"/>
      </w:pPr>
      <w:r>
        <w:rPr>
          <w:rFonts w:ascii="Liberation Sans" w:hAnsi="Liberation Sans"/>
          <w:b w:val="0"/>
          <w:i w:val="0"/>
          <w:sz w:val="20"/>
        </w:rPr>
        <w:t>The cases locate mechanisms and test accounting. They do not estimate population prevalence, typical archive value, or future artificial-system behavior. Each case fixes Gamma and Omega. When fixed point-valued branch totals are asserted, both absolute branches are displayed before the premium. For robust-sign analysis in which the branches vary over an admissible uncertainty set, the branch functions and resulting premium bounds may be displayed instead, provided the exception and baseline are explicit. All values are illustrative-only, and every case applies the one-charge rule.</w:t>
      </w:r>
    </w:p>
    <w:tbl>
      <w:tblPr>
        <w:tblW w:type="auto" w:w="0"/>
        <w:tblLook w:firstColumn="1" w:firstRow="1" w:lastColumn="0" w:lastRow="0" w:noHBand="0" w:noVBand="1" w:val="04A0"/>
      </w:tblPr>
      <w:tblGrid>
        <w:gridCol w:w="10166"/>
      </w:tblGrid>
      <w:tr>
        <w:trPr>
          <w:cantSplit/>
        </w:trPr>
        <w:tc>
          <w:tcPr>
            <w:tcW w:type="dxa" w:w="10166"/>
            <w:shd w:fill="E2F0D9"/>
            <w:tcMar>
              <w:top w:w="105" w:type="dxa"/>
              <w:start w:w="135" w:type="dxa"/>
              <w:bottom w:w="105" w:type="dxa"/>
              <w:end w:w="135" w:type="dxa"/>
            </w:tcMar>
            <w:tcBorders>
              <w:top w:sz="8" w:val="single" w:color="70AD47"/>
              <w:left w:sz="8" w:val="single" w:color="70AD47"/>
              <w:bottom w:sz="8" w:val="single" w:color="70AD47"/>
              <w:right w:sz="8" w:val="single" w:color="70AD47"/>
            </w:tcBorders>
          </w:tcPr>
          <w:p>
            <w:pPr>
              <w:keepLines w:val="0"/>
              <w:spacing w:before="0" w:after="20" w:line="240" w:lineRule="auto"/>
            </w:pPr>
            <w:r>
              <w:rPr>
                <w:rFonts w:ascii="Liberation Sans" w:hAnsi="Liberation Sans" w:eastAsia="Liberation Sans"/>
                <w:b/>
                <w:i w:val="0"/>
                <w:color w:val="385723"/>
                <w:sz w:val="22"/>
              </w:rPr>
              <w:t>CASE A: Finite-depth coordination can be positive under a bounded task</w:t>
            </w:r>
          </w:p>
          <w:p>
            <w:pPr>
              <w:keepLines w:val="0"/>
              <w:spacing w:before="20" w:after="0" w:line="247" w:lineRule="auto"/>
            </w:pPr>
            <w:r>
              <w:rPr>
                <w:rFonts w:ascii="Liberation Sans" w:hAnsi="Liberation Sans" w:eastAsia="Liberation Sans"/>
                <w:b w:val="0"/>
                <w:i/>
                <w:sz w:val="18"/>
              </w:rPr>
              <w:t>Shows that a task-specific finite condition may support a positive premium without being called common knowledge.</w:t>
            </w:r>
          </w:p>
        </w:tc>
      </w:tr>
    </w:tbl>
    <w:p>
      <w:pPr>
        <w:pStyle w:val="BodyText"/>
        <w:keepLines w:val="0"/>
        <w:spacing w:before="0" w:after="100" w:line="259" w:lineRule="auto"/>
      </w:pPr>
      <w:r>
        <w:rPr>
          <w:rFonts w:ascii="Liberation Sans" w:hAnsi="Liberation Sans" w:eastAsia="Liberation Sans"/>
          <w:b w:val="0"/>
          <w:i w:val="0"/>
          <w:sz w:val="20"/>
        </w:rPr>
        <w:t>Gamma_A: three participants must select the same reversible configuration within ten minutes; d = 2, tau = 0.80, and the loss from mismatch is moderate. Omega_A contains the same three participants and evidence state before branch assignment. Values are illustrative-only (I9/Q5/C8).</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88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Row</w:t>
            </w:r>
          </w:p>
        </w:tc>
        <w:tc>
          <w:tcPr>
            <w:tcW w:type="dxa" w:w="165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Reference</w:t>
            </w:r>
          </w:p>
        </w:tc>
        <w:tc>
          <w:tcPr>
            <w:tcW w:type="dxa" w:w="165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Alternative</w:t>
            </w:r>
          </w:p>
        </w:tc>
        <w:tc>
          <w:tcPr>
            <w:tcW w:type="dxa" w:w="288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Address</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Task utility</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120</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120</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U_task</w:t>
            </w:r>
          </w:p>
        </w:tc>
      </w:tr>
      <w:tr>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Expected coordination loss</w:t>
            </w:r>
          </w:p>
        </w:tc>
        <w:tc>
          <w:tcPr>
            <w:tcW w:type="dxa" w:w="16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-6</w:t>
            </w:r>
          </w:p>
        </w:tc>
        <w:tc>
          <w:tcPr>
            <w:tcW w:type="dxa" w:w="16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-26</w:t>
            </w:r>
          </w:p>
        </w:tc>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Lambda_coord</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Transmission</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-8</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-18</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C_tx</w:t>
            </w:r>
          </w:p>
        </w:tc>
      </w:tr>
      <w:tr>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Recipient process</w:t>
            </w:r>
          </w:p>
        </w:tc>
        <w:tc>
          <w:tcPr>
            <w:tcW w:type="dxa" w:w="16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-12</w:t>
            </w:r>
          </w:p>
        </w:tc>
        <w:tc>
          <w:tcPr>
            <w:tcW w:type="dxa" w:w="16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-7</w:t>
            </w:r>
          </w:p>
        </w:tc>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C_proc</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Absolute value</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94</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69</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W_b</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Pi_ref,A = 94 - 69 = +25 illustrative units    (42)</w:t>
            </w:r>
          </w:p>
        </w:tc>
      </w:tr>
    </w:tbl>
    <w:p>
      <w:pPr>
        <w:spacing w:after="0"/>
      </w:pPr>
    </w:p>
    <w:p>
      <w:pPr>
        <w:pStyle w:val="BodyText"/>
        <w:keepLines w:val="0"/>
        <w:spacing w:before="0" w:after="100" w:line="259" w:lineRule="auto"/>
      </w:pPr>
      <w:r>
        <w:rPr>
          <w:rFonts w:ascii="Liberation Sans" w:hAnsi="Liberation Sans" w:eastAsia="Liberation Sans"/>
          <w:b w:val="0"/>
          <w:i w:val="0"/>
          <w:sz w:val="20"/>
        </w:rPr>
        <w:t>The implied channel differences are K_coord = 20 and K_comp = 10, offset by five additional process units. The sign depends on the assumed task sufficiency of d = 2 and the timing window; neither internal belief nor the behavioral bridge is directly observed.</w:t>
      </w:r>
    </w:p>
    <w:tbl>
      <w:tblPr>
        <w:tblW w:type="auto" w:w="0"/>
        <w:tblLook w:firstColumn="1" w:firstRow="1" w:lastColumn="0" w:lastRow="0" w:noHBand="0" w:noVBand="1" w:val="04A0"/>
      </w:tblPr>
      <w:tblGrid>
        <w:gridCol w:w="10166"/>
      </w:tblGrid>
      <w:tr>
        <w:trPr>
          <w:cantSplit/>
        </w:trPr>
        <w:tc>
          <w:tcPr>
            <w:tcW w:type="dxa" w:w="10166"/>
            <w:shd w:fill="E2F0D9"/>
            <w:tcMar>
              <w:top w:w="105" w:type="dxa"/>
              <w:start w:w="135" w:type="dxa"/>
              <w:bottom w:w="105" w:type="dxa"/>
              <w:end w:w="135" w:type="dxa"/>
            </w:tcMar>
            <w:tcBorders>
              <w:top w:sz="8" w:val="single" w:color="70AD47"/>
              <w:left w:sz="8" w:val="single" w:color="70AD47"/>
              <w:bottom w:sz="8" w:val="single" w:color="70AD47"/>
              <w:right w:sz="8" w:val="single" w:color="70AD47"/>
            </w:tcBorders>
          </w:tcPr>
          <w:p>
            <w:pPr>
              <w:keepLines w:val="0"/>
              <w:spacing w:before="0" w:after="20" w:line="240" w:lineRule="auto"/>
            </w:pPr>
            <w:r>
              <w:rPr>
                <w:rFonts w:ascii="Liberation Sans" w:hAnsi="Liberation Sans" w:eastAsia="Liberation Sans"/>
                <w:b/>
                <w:i w:val="0"/>
                <w:color w:val="385723"/>
                <w:sz w:val="22"/>
              </w:rPr>
              <w:t>CASE B: Large finite depth does not guarantee common-knowledge behavior</w:t>
            </w:r>
          </w:p>
          <w:p>
            <w:pPr>
              <w:keepLines w:val="0"/>
              <w:spacing w:before="20" w:after="0" w:line="247" w:lineRule="auto"/>
            </w:pPr>
            <w:r>
              <w:rPr>
                <w:rFonts w:ascii="Liberation Sans" w:hAnsi="Liberation Sans" w:eastAsia="Liberation Sans"/>
                <w:b w:val="0"/>
                <w:i/>
                <w:sz w:val="18"/>
              </w:rPr>
              <w:t>Rubinstein-style boundary: many finite confirmations may fail to change equilibrium behavior in a discontinuous task.</w:t>
            </w:r>
          </w:p>
        </w:tc>
      </w:tr>
    </w:tbl>
    <w:p>
      <w:pPr>
        <w:pStyle w:val="BodyText"/>
        <w:keepLines w:val="0"/>
        <w:spacing w:before="0" w:after="100" w:line="259" w:lineRule="auto"/>
      </w:pPr>
      <w:r>
        <w:rPr>
          <w:rFonts w:ascii="Liberation Sans" w:hAnsi="Liberation Sans" w:eastAsia="Liberation Sans"/>
          <w:b w:val="0"/>
          <w:i w:val="0"/>
          <w:sz w:val="20"/>
        </w:rPr>
        <w:t>Gamma_B: a high-loss irreversible action is optimal only under common knowledge of a state. The reference branch creates a long but finite confirmation chain; the alternative branch creates none. The task model retains the safe action in both branches because any finite chain leaves a strategically decisive residual doubt. [R4]</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74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Row</w:t>
            </w:r>
          </w:p>
        </w:tc>
        <w:tc>
          <w:tcPr>
            <w:tcW w:type="dxa" w:w="302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Reference</w:t>
            </w:r>
          </w:p>
        </w:tc>
        <w:tc>
          <w:tcPr>
            <w:tcW w:type="dxa" w:w="302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Alternative</w:t>
            </w:r>
          </w:p>
        </w:tc>
      </w:tr>
      <w:tr>
        <w:tc>
          <w:tcPr>
            <w:tcW w:type="dxa" w:w="37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Observable confirmations</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Large finite number</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None</w:t>
            </w:r>
          </w:p>
        </w:tc>
      </w:tr>
      <w:tr>
        <w:tc>
          <w:tcPr>
            <w:tcW w:type="dxa" w:w="37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Action under disclosed equilibrium model</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Safe action</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Safe action</w:t>
            </w:r>
          </w:p>
        </w:tc>
      </w:tr>
      <w:tr>
        <w:tc>
          <w:tcPr>
            <w:tcW w:type="dxa" w:w="37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Absolute expected value</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40</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40</w:t>
            </w:r>
          </w:p>
        </w:tc>
      </w:tr>
      <w:tr>
        <w:tc>
          <w:tcPr>
            <w:tcW w:type="dxa" w:w="37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Hypothetical common-knowledge benchmark</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90 (not a branch)</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90 (not a branch)</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Pi_ref,B = 40 - 40 = 0 illustrative units    (43)</w:t>
            </w:r>
          </w:p>
        </w:tc>
      </w:tr>
    </w:tbl>
    <w:p>
      <w:pPr>
        <w:spacing w:after="0"/>
      </w:pPr>
    </w:p>
    <w:p>
      <w:pPr>
        <w:pStyle w:val="BodyText"/>
        <w:keepLines w:val="0"/>
        <w:spacing w:before="0" w:after="100" w:line="259" w:lineRule="auto"/>
      </w:pPr>
      <w:r>
        <w:rPr>
          <w:rFonts w:ascii="Liberation Sans" w:hAnsi="Liberation Sans" w:eastAsia="Liberation Sans"/>
          <w:b w:val="0"/>
          <w:i w:val="0"/>
          <w:sz w:val="20"/>
        </w:rPr>
        <w:t>The case blocks a universal positive K_coord inference from finite depth. The common-knowledge benchmark is shown only to explain the discontinuity; it is not silently substituted for the alternative branch.</w:t>
      </w:r>
    </w:p>
    <w:tbl>
      <w:tblPr>
        <w:tblW w:type="auto" w:w="0"/>
        <w:tblLook w:firstColumn="1" w:firstRow="1" w:lastColumn="0" w:lastRow="0" w:noHBand="0" w:noVBand="1" w:val="04A0"/>
      </w:tblPr>
      <w:tblGrid>
        <w:gridCol w:w="10166"/>
      </w:tblGrid>
      <w:tr>
        <w:trPr>
          <w:cantSplit/>
        </w:trPr>
        <w:tc>
          <w:tcPr>
            <w:tcW w:type="dxa" w:w="10166"/>
            <w:shd w:fill="E2F0D9"/>
            <w:tcMar>
              <w:top w:w="105" w:type="dxa"/>
              <w:start w:w="135" w:type="dxa"/>
              <w:bottom w:w="105" w:type="dxa"/>
              <w:end w:w="135" w:type="dxa"/>
            </w:tcMar>
            <w:tcBorders>
              <w:top w:sz="8" w:val="single" w:color="70AD47"/>
              <w:left w:sz="8" w:val="single" w:color="70AD47"/>
              <w:bottom w:sz="8" w:val="single" w:color="70AD47"/>
              <w:right w:sz="8" w:val="single" w:color="70AD47"/>
            </w:tcBorders>
          </w:tcPr>
          <w:p>
            <w:pPr>
              <w:keepLines w:val="0"/>
              <w:spacing w:before="0" w:after="20" w:line="240" w:lineRule="auto"/>
            </w:pPr>
            <w:r>
              <w:rPr>
                <w:rFonts w:ascii="Liberation Sans" w:hAnsi="Liberation Sans" w:eastAsia="Liberation Sans"/>
                <w:b/>
                <w:i w:val="0"/>
                <w:color w:val="385723"/>
                <w:sz w:val="22"/>
              </w:rPr>
              <w:t>CASE C: Gross information gain can coexist with negative net value</w:t>
            </w:r>
          </w:p>
          <w:p>
            <w:pPr>
              <w:keepLines w:val="0"/>
              <w:spacing w:before="20" w:after="0" w:line="247" w:lineRule="auto"/>
            </w:pPr>
            <w:r>
              <w:rPr>
                <w:rFonts w:ascii="Liberation Sans" w:hAnsi="Liberation Sans" w:eastAsia="Liberation Sans"/>
                <w:b w:val="0"/>
                <w:i/>
                <w:sz w:val="18"/>
              </w:rPr>
              <w:t>Separates the ideal optional-information benchmark from complete branch accounting and social effects.</w:t>
            </w:r>
          </w:p>
        </w:tc>
      </w:tr>
    </w:tbl>
    <w:p>
      <w:pPr>
        <w:pStyle w:val="BodyText"/>
        <w:keepLines w:val="0"/>
        <w:spacing w:before="0" w:after="100" w:line="259" w:lineRule="auto"/>
      </w:pPr>
      <w:r>
        <w:rPr>
          <w:rFonts w:ascii="Liberation Sans" w:hAnsi="Liberation Sans" w:eastAsia="Liberation Sans"/>
          <w:b w:val="0"/>
          <w:i w:val="0"/>
          <w:sz w:val="20"/>
        </w:rPr>
        <w:t>Gamma_C: a noisy public anchor improves gross fundamental matching but creates processing burden, common-mode error, and crowding out of independent signals. Omega_C is the same affected group in both branches. Values are illustrative-only.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88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Row</w:t>
            </w:r>
          </w:p>
        </w:tc>
        <w:tc>
          <w:tcPr>
            <w:tcW w:type="dxa" w:w="165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Reference</w:t>
            </w:r>
          </w:p>
        </w:tc>
        <w:tc>
          <w:tcPr>
            <w:tcW w:type="dxa" w:w="165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Alternative</w:t>
            </w:r>
          </w:p>
        </w:tc>
        <w:tc>
          <w:tcPr>
            <w:tcW w:type="dxa" w:w="288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Address</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Gross task value</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130</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100</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U_task</w:t>
            </w:r>
          </w:p>
        </w:tc>
      </w:tr>
      <w:tr>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Process cost</w:t>
            </w:r>
          </w:p>
        </w:tc>
        <w:tc>
          <w:tcPr>
            <w:tcW w:type="dxa" w:w="16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-12</w:t>
            </w:r>
          </w:p>
        </w:tc>
        <w:tc>
          <w:tcPr>
            <w:tcW w:type="dxa" w:w="16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-4</w:t>
            </w:r>
          </w:p>
        </w:tc>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C_proc</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Common-mode error</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-26</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0</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Lambda_coord,ref; K_coord = -26</w:t>
            </w:r>
          </w:p>
        </w:tc>
      </w:tr>
      <w:tr>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Crowd-out externality</w:t>
            </w:r>
          </w:p>
        </w:tc>
        <w:tc>
          <w:tcPr>
            <w:tcW w:type="dxa" w:w="16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-10</w:t>
            </w:r>
          </w:p>
        </w:tc>
        <w:tc>
          <w:tcPr>
            <w:tcW w:type="dxa" w:w="16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0</w:t>
            </w:r>
          </w:p>
        </w:tc>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Named externality</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Absolute value</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82</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96</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W_b</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Pi_ref,C = 82 - 96 = -14 illustrative units    (44)</w:t>
            </w:r>
          </w:p>
        </w:tc>
      </w:tr>
    </w:tbl>
    <w:p>
      <w:pPr>
        <w:spacing w:after="0"/>
      </w:pPr>
    </w:p>
    <w:p>
      <w:pPr>
        <w:pStyle w:val="BodyText"/>
        <w:keepLines w:val="0"/>
        <w:spacing w:before="0" w:after="100" w:line="259" w:lineRule="auto"/>
      </w:pPr>
      <w:r>
        <w:rPr>
          <w:rFonts w:ascii="Liberation Sans" w:hAnsi="Liberation Sans" w:eastAsia="Liberation Sans"/>
          <w:b w:val="0"/>
          <w:i w:val="0"/>
          <w:sz w:val="20"/>
        </w:rPr>
        <w:t>The reference has a 30-unit gross advantage but a 14-unit negative net premium. The example is an existence construction, not evidence that public information is generally harmful.</w:t>
      </w:r>
    </w:p>
    <w:tbl>
      <w:tblPr>
        <w:tblW w:type="auto" w:w="0"/>
        <w:tblLook w:firstColumn="1" w:firstRow="1" w:lastColumn="0" w:lastRow="0" w:noHBand="0" w:noVBand="1" w:val="04A0"/>
      </w:tblPr>
      <w:tblGrid>
        <w:gridCol w:w="10166"/>
      </w:tblGrid>
      <w:tr>
        <w:trPr>
          <w:cantSplit/>
        </w:trPr>
        <w:tc>
          <w:tcPr>
            <w:tcW w:type="dxa" w:w="10166"/>
            <w:shd w:fill="E2F0D9"/>
            <w:tcMar>
              <w:top w:w="105" w:type="dxa"/>
              <w:start w:w="135" w:type="dxa"/>
              <w:bottom w:w="105" w:type="dxa"/>
              <w:end w:w="135" w:type="dxa"/>
            </w:tcMar>
            <w:tcBorders>
              <w:top w:sz="8" w:val="single" w:color="70AD47"/>
              <w:left w:sz="8" w:val="single" w:color="70AD47"/>
              <w:bottom w:sz="8" w:val="single" w:color="70AD47"/>
              <w:right w:sz="8" w:val="single" w:color="70AD47"/>
            </w:tcBorders>
          </w:tcPr>
          <w:p>
            <w:pPr>
              <w:keepLines w:val="0"/>
              <w:spacing w:before="0" w:after="20" w:line="240" w:lineRule="auto"/>
            </w:pPr>
            <w:r>
              <w:rPr>
                <w:rFonts w:ascii="Liberation Sans" w:hAnsi="Liberation Sans" w:eastAsia="Liberation Sans"/>
                <w:b/>
                <w:i w:val="0"/>
                <w:color w:val="385723"/>
                <w:sz w:val="22"/>
              </w:rPr>
              <w:t>CASE D: Shared transmission can create a positive multi-recipient premium</w:t>
            </w:r>
          </w:p>
          <w:p>
            <w:pPr>
              <w:keepLines w:val="0"/>
              <w:spacing w:before="20" w:after="0" w:line="247" w:lineRule="auto"/>
            </w:pPr>
            <w:r>
              <w:rPr>
                <w:rFonts w:ascii="Liberation Sans" w:hAnsi="Liberation Sans" w:eastAsia="Liberation Sans"/>
                <w:b w:val="0"/>
                <w:i/>
                <w:sz w:val="18"/>
              </w:rPr>
              <w:t>Shows genuine broadcast savings while retaining recipient-specific process costs.</w:t>
            </w:r>
          </w:p>
        </w:tc>
      </w:tr>
    </w:tbl>
    <w:p>
      <w:pPr>
        <w:pStyle w:val="BodyText"/>
        <w:keepLines w:val="0"/>
        <w:spacing w:before="0" w:after="100" w:line="259" w:lineRule="auto"/>
      </w:pPr>
      <w:r>
        <w:rPr>
          <w:rFonts w:ascii="Liberation Sans" w:hAnsi="Liberation Sans" w:eastAsia="Liberation Sans"/>
          <w:b w:val="0"/>
          <w:i w:val="0"/>
          <w:sz w:val="20"/>
        </w:rPr>
        <w:t>Gamma_D: five recipients require the same task-relevant evidence. The sender knows the recipients and can use one shared pointer plus one marginal unit per recipient. The alternative sends separate 24-unit task packets. Recipient-side work remains heterogeneous and nonzero.</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88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Row</w:t>
            </w:r>
          </w:p>
        </w:tc>
        <w:tc>
          <w:tcPr>
            <w:tcW w:type="dxa" w:w="165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Reference</w:t>
            </w:r>
          </w:p>
        </w:tc>
        <w:tc>
          <w:tcPr>
            <w:tcW w:type="dxa" w:w="165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Alternative</w:t>
            </w:r>
          </w:p>
        </w:tc>
        <w:tc>
          <w:tcPr>
            <w:tcW w:type="dxa" w:w="288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Address</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Task utility</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220</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220</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U_task</w:t>
            </w:r>
          </w:p>
        </w:tc>
      </w:tr>
      <w:tr>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Shared transmission</w:t>
            </w:r>
          </w:p>
        </w:tc>
        <w:tc>
          <w:tcPr>
            <w:tcW w:type="dxa" w:w="16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-8</w:t>
            </w:r>
          </w:p>
        </w:tc>
        <w:tc>
          <w:tcPr>
            <w:tcW w:type="dxa" w:w="16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0</w:t>
            </w:r>
          </w:p>
        </w:tc>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C_tx shared</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Marginal transmission</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-5</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-120</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C_tx marginal</w:t>
            </w:r>
          </w:p>
        </w:tc>
      </w:tr>
      <w:tr>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Recipient process</w:t>
            </w:r>
          </w:p>
        </w:tc>
        <w:tc>
          <w:tcPr>
            <w:tcW w:type="dxa" w:w="16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-60</w:t>
            </w:r>
          </w:p>
        </w:tc>
        <w:tc>
          <w:tcPr>
            <w:tcW w:type="dxa" w:w="16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-25</w:t>
            </w:r>
          </w:p>
        </w:tc>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C_proc</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Absolute value</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147</w:t>
            </w:r>
          </w:p>
        </w:tc>
        <w:tc>
          <w:tcPr>
            <w:tcW w:type="dxa" w:w="16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75</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W_b</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K_comp,D = 120 - 13 = +107 ;   Pi_ref,D = 147 - 75 = +72 illustrative units    (45)</w:t>
            </w:r>
          </w:p>
        </w:tc>
      </w:tr>
    </w:tbl>
    <w:p>
      <w:pPr>
        <w:spacing w:after="0"/>
      </w:pPr>
    </w:p>
    <w:p>
      <w:pPr>
        <w:pStyle w:val="BodyText"/>
        <w:keepLines w:val="0"/>
        <w:spacing w:before="0" w:after="100" w:line="259" w:lineRule="auto"/>
      </w:pPr>
      <w:r>
        <w:rPr>
          <w:rFonts w:ascii="Liberation Sans" w:hAnsi="Liberation Sans" w:eastAsia="Liberation Sans"/>
          <w:b w:val="0"/>
          <w:i w:val="0"/>
          <w:sz w:val="20"/>
        </w:rPr>
        <w:t>Transmission savings exceed the additional 35 units of recipient processing. The case does not infer that the pointer is understood, that side information is current, or that every recipient can retrieve the artifact.</w:t>
      </w:r>
    </w:p>
    <w:tbl>
      <w:tblPr>
        <w:tblW w:type="auto" w:w="0"/>
        <w:tblLook w:firstColumn="1" w:firstRow="1" w:lastColumn="0" w:lastRow="0" w:noHBand="0" w:noVBand="1" w:val="04A0"/>
      </w:tblPr>
      <w:tblGrid>
        <w:gridCol w:w="10166"/>
      </w:tblGrid>
      <w:tr>
        <w:trPr>
          <w:cantSplit/>
        </w:trPr>
        <w:tc>
          <w:tcPr>
            <w:tcW w:type="dxa" w:w="10166"/>
            <w:shd w:fill="E2F0D9"/>
            <w:tcMar>
              <w:top w:w="105" w:type="dxa"/>
              <w:start w:w="135" w:type="dxa"/>
              <w:bottom w:w="105" w:type="dxa"/>
              <w:end w:w="135" w:type="dxa"/>
            </w:tcMar>
            <w:tcBorders>
              <w:top w:sz="8" w:val="single" w:color="70AD47"/>
              <w:left w:sz="8" w:val="single" w:color="70AD47"/>
              <w:bottom w:sz="8" w:val="single" w:color="70AD47"/>
              <w:right w:sz="8" w:val="single" w:color="70AD47"/>
            </w:tcBorders>
          </w:tcPr>
          <w:p>
            <w:pPr>
              <w:keepLines w:val="0"/>
              <w:spacing w:before="0" w:after="20" w:line="240" w:lineRule="auto"/>
            </w:pPr>
            <w:r>
              <w:rPr>
                <w:rFonts w:ascii="Liberation Sans" w:hAnsi="Liberation Sans" w:eastAsia="Liberation Sans"/>
                <w:b/>
                <w:i w:val="0"/>
                <w:color w:val="385723"/>
                <w:sz w:val="22"/>
              </w:rPr>
              <w:t>CASE E: A valid hash name with no retrievable copy can be negative</w:t>
            </w:r>
          </w:p>
          <w:p>
            <w:pPr>
              <w:keepLines w:val="0"/>
              <w:spacing w:before="20" w:after="0" w:line="247" w:lineRule="auto"/>
            </w:pPr>
            <w:r>
              <w:rPr>
                <w:rFonts w:ascii="Liberation Sans" w:hAnsi="Liberation Sans" w:eastAsia="Liberation Sans"/>
                <w:b w:val="0"/>
                <w:i/>
                <w:sz w:val="18"/>
              </w:rPr>
              <w:t>Shows pointer and fallback overshoot without treating byte identity as availability.</w:t>
            </w:r>
          </w:p>
        </w:tc>
      </w:tr>
    </w:tbl>
    <w:p>
      <w:pPr>
        <w:pStyle w:val="BodyText"/>
        <w:keepLines w:val="0"/>
        <w:spacing w:before="0" w:after="100" w:line="259" w:lineRule="auto"/>
      </w:pPr>
      <w:r>
        <w:rPr>
          <w:rFonts w:ascii="Liberation Sans" w:hAnsi="Liberation Sans" w:eastAsia="Liberation Sans"/>
          <w:b w:val="0"/>
          <w:i w:val="0"/>
          <w:sz w:val="20"/>
        </w:rPr>
        <w:t>Gamma_E: the digest correctly names target bytes, but no usable copy is retrievable before the decision window. Fallback eventually sends the same full content used by the alternative. Values reproduce the confirmed durability-stream illustration and remain illustrative-only.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16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Row</w:t>
            </w:r>
          </w:p>
        </w:tc>
        <w:tc>
          <w:tcPr>
            <w:tcW w:type="dxa" w:w="151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Reference</w:t>
            </w:r>
          </w:p>
        </w:tc>
        <w:tc>
          <w:tcPr>
            <w:tcW w:type="dxa" w:w="151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Alternative</w:t>
            </w:r>
          </w:p>
        </w:tc>
        <w:tc>
          <w:tcPr>
            <w:tcW w:type="dxa" w:w="288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Address</w:t>
            </w:r>
          </w:p>
        </w:tc>
      </w:tr>
      <w:tr>
        <w:tc>
          <w:tcPr>
            <w:tcW w:type="dxa" w:w="316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Task utility after fallback</w:t>
            </w:r>
          </w:p>
        </w:tc>
        <w:tc>
          <w:tcPr>
            <w:tcW w:type="dxa" w:w="151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60</w:t>
            </w:r>
          </w:p>
        </w:tc>
        <w:tc>
          <w:tcPr>
            <w:tcW w:type="dxa" w:w="151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60</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U_task</w:t>
            </w:r>
          </w:p>
        </w:tc>
      </w:tr>
      <w:tr>
        <w:tc>
          <w:tcPr>
            <w:tcW w:type="dxa" w:w="316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Pointer transmission</w:t>
            </w:r>
          </w:p>
        </w:tc>
        <w:tc>
          <w:tcPr>
            <w:tcW w:type="dxa" w:w="151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w:t>
            </w:r>
          </w:p>
        </w:tc>
        <w:tc>
          <w:tcPr>
            <w:tcW w:type="dxa" w:w="151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C_tx</w:t>
            </w:r>
          </w:p>
        </w:tc>
      </w:tr>
      <w:tr>
        <w:tc>
          <w:tcPr>
            <w:tcW w:type="dxa" w:w="316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Failed resolve/retrieval effort</w:t>
            </w:r>
          </w:p>
        </w:tc>
        <w:tc>
          <w:tcPr>
            <w:tcW w:type="dxa" w:w="151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-6</w:t>
            </w:r>
          </w:p>
        </w:tc>
        <w:tc>
          <w:tcPr>
            <w:tcW w:type="dxa" w:w="151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C_proc</w:t>
            </w:r>
          </w:p>
        </w:tc>
      </w:tr>
      <w:tr>
        <w:tc>
          <w:tcPr>
            <w:tcW w:type="dxa" w:w="316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Fallback full transmission</w:t>
            </w:r>
          </w:p>
        </w:tc>
        <w:tc>
          <w:tcPr>
            <w:tcW w:type="dxa" w:w="151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-15</w:t>
            </w:r>
          </w:p>
        </w:tc>
        <w:tc>
          <w:tcPr>
            <w:tcW w:type="dxa" w:w="151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-15</w:t>
            </w:r>
          </w:p>
        </w:tc>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C_tx</w:t>
            </w:r>
          </w:p>
        </w:tc>
      </w:tr>
      <w:tr>
        <w:tc>
          <w:tcPr>
            <w:tcW w:type="dxa" w:w="316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Missed-window consequence</w:t>
            </w:r>
          </w:p>
        </w:tc>
        <w:tc>
          <w:tcPr>
            <w:tcW w:type="dxa" w:w="151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w:t>
            </w:r>
          </w:p>
        </w:tc>
        <w:tc>
          <w:tcPr>
            <w:tcW w:type="dxa" w:w="151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C_fail</w:t>
            </w:r>
          </w:p>
        </w:tc>
      </w:tr>
      <w:tr>
        <w:tc>
          <w:tcPr>
            <w:tcW w:type="dxa" w:w="316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Absolute value</w:t>
            </w:r>
          </w:p>
        </w:tc>
        <w:tc>
          <w:tcPr>
            <w:tcW w:type="dxa" w:w="151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28</w:t>
            </w:r>
          </w:p>
        </w:tc>
        <w:tc>
          <w:tcPr>
            <w:tcW w:type="dxa" w:w="151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45</w:t>
            </w:r>
          </w:p>
        </w:tc>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W_b</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Pi_ref,E = 28 - 45 = -17 illustrative units    (46)</w:t>
            </w:r>
          </w:p>
        </w:tc>
      </w:tr>
    </w:tbl>
    <w:p>
      <w:pPr>
        <w:spacing w:after="0"/>
      </w:pPr>
    </w:p>
    <w:p>
      <w:pPr>
        <w:pStyle w:val="BodyText"/>
        <w:keepLines w:val="0"/>
        <w:spacing w:before="0" w:after="100" w:line="259" w:lineRule="auto"/>
      </w:pPr>
      <w:r>
        <w:rPr>
          <w:rFonts w:ascii="Liberation Sans" w:hAnsi="Liberation Sans" w:eastAsia="Liberation Sans"/>
          <w:b w:val="0"/>
          <w:i w:val="0"/>
          <w:sz w:val="20"/>
        </w:rPr>
        <w:t>Fallback equals the alternative and therefore cancels in the difference. The negative premium is exactly the pointer, failed effort, and missed-window consequence. The zero alternative-side failed-retrieval effort is scenario-assumed because the alternative begins with direct full transmission and performs no pointer resolution; it is not a general property of alternative branches. No separate generic “reference failure” charge is added.</w:t>
      </w:r>
    </w:p>
    <w:tbl>
      <w:tblPr>
        <w:tblW w:type="auto" w:w="0"/>
        <w:tblLook w:firstColumn="1" w:firstRow="1" w:lastColumn="0" w:lastRow="0" w:noHBand="0" w:noVBand="1" w:val="04A0"/>
      </w:tblPr>
      <w:tblGrid>
        <w:gridCol w:w="10166"/>
      </w:tblGrid>
      <w:tr>
        <w:trPr>
          <w:cantSplit/>
        </w:trPr>
        <w:tc>
          <w:tcPr>
            <w:tcW w:type="dxa" w:w="10166"/>
            <w:shd w:fill="E2F0D9"/>
            <w:tcMar>
              <w:top w:w="105" w:type="dxa"/>
              <w:start w:w="135" w:type="dxa"/>
              <w:bottom w:w="105" w:type="dxa"/>
              <w:end w:w="135" w:type="dxa"/>
            </w:tcMar>
            <w:tcBorders>
              <w:top w:sz="8" w:val="single" w:color="70AD47"/>
              <w:left w:sz="8" w:val="single" w:color="70AD47"/>
              <w:bottom w:sz="8" w:val="single" w:color="70AD47"/>
              <w:right w:sz="8" w:val="single" w:color="70AD47"/>
            </w:tcBorders>
          </w:tcPr>
          <w:p>
            <w:pPr>
              <w:keepLines w:val="0"/>
              <w:spacing w:before="0" w:after="20" w:line="240" w:lineRule="auto"/>
            </w:pPr>
            <w:r>
              <w:rPr>
                <w:rFonts w:ascii="Liberation Sans" w:hAnsi="Liberation Sans" w:eastAsia="Liberation Sans"/>
                <w:b/>
                <w:i w:val="0"/>
                <w:color w:val="385723"/>
                <w:sz w:val="22"/>
              </w:rPr>
              <w:t>CASE F: Target-anchored citation creates a positive strategic-reference premium</w:t>
            </w:r>
          </w:p>
          <w:p>
            <w:pPr>
              <w:keepLines w:val="0"/>
              <w:spacing w:before="20" w:after="0" w:line="247" w:lineRule="auto"/>
            </w:pPr>
            <w:r>
              <w:rPr>
                <w:rFonts w:ascii="Liberation Sans" w:hAnsi="Liberation Sans" w:eastAsia="Liberation Sans"/>
                <w:b w:val="0"/>
                <w:i/>
                <w:sz w:val="18"/>
              </w:rPr>
              <w:t>Carry-forward of the confirmed v0.5.2 case: positive value comes from actual support and auditability, not prestige.</w:t>
            </w:r>
          </w:p>
        </w:tc>
      </w:tr>
    </w:tbl>
    <w:p>
      <w:pPr>
        <w:pStyle w:val="BodyText"/>
        <w:keepLines w:val="0"/>
        <w:spacing w:before="0" w:after="100" w:line="259" w:lineRule="auto"/>
      </w:pPr>
      <w:r>
        <w:rPr>
          <w:rFonts w:ascii="Liberation Sans" w:hAnsi="Liberation Sans" w:eastAsia="Liberation Sans"/>
          <w:b w:val="0"/>
          <w:i w:val="0"/>
          <w:sz w:val="20"/>
        </w:rPr>
        <w:t>Primitive restatement note: to conform to Equation 34, the confirmed +8 provenance and +6 audit channel contributions are represented as avoided alternative-branch loss primitives. The confirmed absolute totals and +19 premium are unchanged.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24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Item</w:t>
            </w:r>
          </w:p>
        </w:tc>
        <w:tc>
          <w:tcPr>
            <w:tcW w:type="dxa" w:w="144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Reference</w:t>
            </w:r>
          </w:p>
        </w:tc>
        <w:tc>
          <w:tcPr>
            <w:tcW w:type="dxa" w:w="144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Alternative</w:t>
            </w:r>
          </w:p>
        </w:tc>
        <w:tc>
          <w:tcPr>
            <w:tcW w:type="dxa" w:w="295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Address</w:t>
            </w:r>
          </w:p>
        </w:tc>
      </w:tr>
      <w:tr>
        <w:tc>
          <w:tcPr>
            <w:tcW w:type="dxa" w:w="32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Common task utility baseline</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114</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114</w:t>
            </w:r>
          </w:p>
        </w:tc>
        <w:tc>
          <w:tcPr>
            <w:tcW w:type="dxa" w:w="295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U_task</w:t>
            </w:r>
          </w:p>
        </w:tc>
      </w:tr>
      <w:tr>
        <w:tc>
          <w:tcPr>
            <w:tcW w:type="dxa" w:w="32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Expected provenance-dispute loss</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-8</w:t>
            </w:r>
          </w:p>
        </w:tc>
        <w:tc>
          <w:tcPr>
            <w:tcW w:type="dxa" w:w="295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Lambda_prov</w:t>
            </w:r>
          </w:p>
        </w:tc>
      </w:tr>
      <w:tr>
        <w:tc>
          <w:tcPr>
            <w:tcW w:type="dxa" w:w="32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Expected audit-misclassification loss</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-6</w:t>
            </w:r>
          </w:p>
        </w:tc>
        <w:tc>
          <w:tcPr>
            <w:tcW w:type="dxa" w:w="295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Lambda_audit</w:t>
            </w:r>
          </w:p>
        </w:tc>
      </w:tr>
      <w:tr>
        <w:tc>
          <w:tcPr>
            <w:tcW w:type="dxa" w:w="32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Process and verification</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-5</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-7</w:t>
            </w:r>
          </w:p>
        </w:tc>
        <w:tc>
          <w:tcPr>
            <w:tcW w:type="dxa" w:w="295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C_proc</w:t>
            </w:r>
          </w:p>
        </w:tc>
      </w:tr>
      <w:tr>
        <w:tc>
          <w:tcPr>
            <w:tcW w:type="dxa" w:w="32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Residual misclassification</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-2</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295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C_mis</w:t>
            </w:r>
          </w:p>
        </w:tc>
      </w:tr>
      <w:tr>
        <w:tc>
          <w:tcPr>
            <w:tcW w:type="dxa" w:w="32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Unresolved dispute</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-5</w:t>
            </w:r>
          </w:p>
        </w:tc>
        <w:tc>
          <w:tcPr>
            <w:tcW w:type="dxa" w:w="295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C_fail</w:t>
            </w:r>
          </w:p>
        </w:tc>
      </w:tr>
      <w:tr>
        <w:tc>
          <w:tcPr>
            <w:tcW w:type="dxa" w:w="32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Absolute value</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107</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88</w:t>
            </w:r>
          </w:p>
        </w:tc>
        <w:tc>
          <w:tcPr>
            <w:tcW w:type="dxa" w:w="295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W_b</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K_prov,F = 8 ; K_audit,F = 6 ; Pi_ref,F = 107 - 88 = +19 illustrative units    (47)</w:t>
            </w:r>
          </w:p>
        </w:tc>
      </w:tr>
    </w:tbl>
    <w:p>
      <w:pPr>
        <w:spacing w:after="0"/>
      </w:pPr>
    </w:p>
    <w:p>
      <w:pPr>
        <w:pStyle w:val="BodyText"/>
        <w:keepLines w:val="0"/>
        <w:spacing w:before="0" w:after="100" w:line="259" w:lineRule="auto"/>
      </w:pPr>
      <w:r>
        <w:rPr>
          <w:rFonts w:ascii="Liberation Sans" w:hAnsi="Liberation Sans" w:eastAsia="Liberation Sans"/>
          <w:b w:val="0"/>
          <w:i w:val="0"/>
          <w:sz w:val="20"/>
        </w:rPr>
        <w:t>The reference branch is positive because the retrieved artifact is target-matched, actually supports the attributed claim, and reduces expected provenance dispute and authorized audit misclassification after processing and residual error are counted.</w:t>
      </w:r>
    </w:p>
    <w:tbl>
      <w:tblPr>
        <w:tblW w:type="auto" w:w="0"/>
        <w:tblLook w:firstColumn="1" w:firstRow="1" w:lastColumn="0" w:lastRow="0" w:noHBand="0" w:noVBand="1" w:val="04A0"/>
      </w:tblPr>
      <w:tblGrid>
        <w:gridCol w:w="10166"/>
      </w:tblGrid>
      <w:tr>
        <w:trPr>
          <w:cantSplit/>
        </w:trPr>
        <w:tc>
          <w:tcPr>
            <w:tcW w:type="dxa" w:w="10166"/>
            <w:shd w:fill="E2F0D9"/>
            <w:tcMar>
              <w:top w:w="105" w:type="dxa"/>
              <w:start w:w="135" w:type="dxa"/>
              <w:bottom w:w="105" w:type="dxa"/>
              <w:end w:w="135" w:type="dxa"/>
            </w:tcMar>
            <w:tcBorders>
              <w:top w:sz="8" w:val="single" w:color="70AD47"/>
              <w:left w:sz="8" w:val="single" w:color="70AD47"/>
              <w:bottom w:sz="8" w:val="single" w:color="70AD47"/>
              <w:right w:sz="8" w:val="single" w:color="70AD47"/>
            </w:tcBorders>
          </w:tcPr>
          <w:p>
            <w:pPr>
              <w:keepLines w:val="0"/>
              <w:spacing w:before="0" w:after="20" w:line="240" w:lineRule="auto"/>
            </w:pPr>
            <w:r>
              <w:rPr>
                <w:rFonts w:ascii="Liberation Sans" w:hAnsi="Liberation Sans" w:eastAsia="Liberation Sans"/>
                <w:b/>
                <w:i w:val="0"/>
                <w:color w:val="385723"/>
                <w:sz w:val="22"/>
              </w:rPr>
              <w:t>CASE G: Citation theater can be negative despite transmission saving</w:t>
            </w:r>
          </w:p>
          <w:p>
            <w:pPr>
              <w:keepLines w:val="0"/>
              <w:spacing w:before="20" w:after="0" w:line="247" w:lineRule="auto"/>
            </w:pPr>
            <w:r>
              <w:rPr>
                <w:rFonts w:ascii="Liberation Sans" w:hAnsi="Liberation Sans" w:eastAsia="Liberation Sans"/>
                <w:b w:val="0"/>
                <w:i/>
                <w:sz w:val="18"/>
              </w:rPr>
              <w:t>Demonstrates that positive K_comp and total reference value are independent quantities.</w:t>
            </w:r>
          </w:p>
        </w:tc>
      </w:tr>
    </w:tbl>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88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Item</w:t>
            </w:r>
          </w:p>
        </w:tc>
        <w:tc>
          <w:tcPr>
            <w:tcW w:type="dxa" w:w="158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Reference</w:t>
            </w:r>
          </w:p>
        </w:tc>
        <w:tc>
          <w:tcPr>
            <w:tcW w:type="dxa" w:w="158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Alternative</w:t>
            </w:r>
          </w:p>
        </w:tc>
        <w:tc>
          <w:tcPr>
            <w:tcW w:type="dxa" w:w="302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Address</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Task utility</w:t>
            </w:r>
          </w:p>
        </w:tc>
        <w:tc>
          <w:tcPr>
            <w:tcW w:type="dxa" w:w="15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100</w:t>
            </w:r>
          </w:p>
        </w:tc>
        <w:tc>
          <w:tcPr>
            <w:tcW w:type="dxa" w:w="15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100</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U_task</w:t>
            </w:r>
          </w:p>
        </w:tc>
      </w:tr>
      <w:tr>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Sender/channel transmission</w:t>
            </w:r>
          </w:p>
        </w:tc>
        <w:tc>
          <w:tcPr>
            <w:tcW w:type="dxa" w:w="158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-4</w:t>
            </w:r>
          </w:p>
        </w:tc>
        <w:tc>
          <w:tcPr>
            <w:tcW w:type="dxa" w:w="158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-6</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Determines K_comp = +2</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Recipient processing and review</w:t>
            </w:r>
          </w:p>
        </w:tc>
        <w:tc>
          <w:tcPr>
            <w:tcW w:type="dxa" w:w="15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-6</w:t>
            </w:r>
          </w:p>
        </w:tc>
        <w:tc>
          <w:tcPr>
            <w:tcW w:type="dxa" w:w="15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-6</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C_proc</w:t>
            </w:r>
          </w:p>
        </w:tc>
      </w:tr>
      <w:tr>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Unsupported-reliance loss</w:t>
            </w:r>
          </w:p>
        </w:tc>
        <w:tc>
          <w:tcPr>
            <w:tcW w:type="dxa" w:w="158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-18</w:t>
            </w:r>
          </w:p>
        </w:tc>
        <w:tc>
          <w:tcPr>
            <w:tcW w:type="dxa" w:w="158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C_mis</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Absolute value</w:t>
            </w:r>
          </w:p>
        </w:tc>
        <w:tc>
          <w:tcPr>
            <w:tcW w:type="dxa" w:w="15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72</w:t>
            </w:r>
          </w:p>
        </w:tc>
        <w:tc>
          <w:tcPr>
            <w:tcW w:type="dxa" w:w="15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88</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W_b</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K_comp,G = 6 - 4 = +2 ;   Pi_ref,G = 72 - 88 = -16 illustrative units    (48)</w:t>
            </w:r>
          </w:p>
        </w:tc>
      </w:tr>
    </w:tbl>
    <w:p>
      <w:pPr>
        <w:spacing w:after="0"/>
      </w:pPr>
    </w:p>
    <w:p>
      <w:pPr>
        <w:pStyle w:val="BodyText"/>
        <w:keepLines w:val="0"/>
        <w:spacing w:before="0" w:after="100" w:line="259" w:lineRule="auto"/>
      </w:pPr>
      <w:r>
        <w:rPr>
          <w:rFonts w:ascii="Liberation Sans" w:hAnsi="Liberation Sans" w:eastAsia="Liberation Sans"/>
          <w:b w:val="0"/>
          <w:i w:val="0"/>
          <w:sz w:val="20"/>
        </w:rPr>
        <w:t>The pointer works and saves two transmission units, but S_claim is false and the receiver relies on an unsupported proposition. C_ptr is not a terminal address; transmission determines K_comp while recipient labor remains C_proc.</w:t>
      </w:r>
    </w:p>
    <w:tbl>
      <w:tblPr>
        <w:tblW w:type="auto" w:w="0"/>
        <w:tblLook w:firstColumn="1" w:firstRow="1" w:lastColumn="0" w:lastRow="0" w:noHBand="0" w:noVBand="1" w:val="04A0"/>
      </w:tblPr>
      <w:tblGrid>
        <w:gridCol w:w="10166"/>
      </w:tblGrid>
      <w:tr>
        <w:trPr>
          <w:cantSplit/>
        </w:trPr>
        <w:tc>
          <w:tcPr>
            <w:tcW w:type="dxa" w:w="10166"/>
            <w:shd w:fill="E2F0D9"/>
            <w:tcMar>
              <w:top w:w="105" w:type="dxa"/>
              <w:start w:w="135" w:type="dxa"/>
              <w:bottom w:w="105" w:type="dxa"/>
              <w:end w:w="135" w:type="dxa"/>
            </w:tcMar>
            <w:tcBorders>
              <w:top w:sz="8" w:val="single" w:color="70AD47"/>
              <w:left w:sz="8" w:val="single" w:color="70AD47"/>
              <w:bottom w:sz="8" w:val="single" w:color="70AD47"/>
              <w:right w:sz="8" w:val="single" w:color="70AD47"/>
            </w:tcBorders>
          </w:tcPr>
          <w:p>
            <w:pPr>
              <w:keepLines w:val="0"/>
              <w:spacing w:before="0" w:after="20" w:line="240" w:lineRule="auto"/>
            </w:pPr>
            <w:r>
              <w:rPr>
                <w:rFonts w:ascii="Liberation Sans" w:hAnsi="Liberation Sans" w:eastAsia="Liberation Sans"/>
                <w:b/>
                <w:i w:val="0"/>
                <w:color w:val="385723"/>
                <w:sz w:val="22"/>
              </w:rPr>
              <w:t>CASE H: A valid signature can accompany a false status field</w:t>
            </w:r>
          </w:p>
          <w:p>
            <w:pPr>
              <w:keepLines w:val="0"/>
              <w:spacing w:before="20" w:after="0" w:line="247" w:lineRule="auto"/>
            </w:pPr>
            <w:r>
              <w:rPr>
                <w:rFonts w:ascii="Liberation Sans" w:hAnsi="Liberation Sans" w:eastAsia="Liberation Sans"/>
                <w:b w:val="0"/>
                <w:i/>
                <w:sz w:val="18"/>
              </w:rPr>
              <w:t>Separates issuance integrity from truth of the signed verification claim.</w:t>
            </w:r>
          </w:p>
        </w:tc>
      </w:tr>
    </w:tbl>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45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Item</w:t>
            </w:r>
          </w:p>
        </w:tc>
        <w:tc>
          <w:tcPr>
            <w:tcW w:type="dxa" w:w="144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Reference</w:t>
            </w:r>
          </w:p>
        </w:tc>
        <w:tc>
          <w:tcPr>
            <w:tcW w:type="dxa" w:w="144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Alternative</w:t>
            </w:r>
          </w:p>
        </w:tc>
        <w:tc>
          <w:tcPr>
            <w:tcW w:type="dxa" w:w="288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Address</w:t>
            </w:r>
          </w:p>
        </w:tc>
      </w:tr>
      <w:tr>
        <w:tc>
          <w:tcPr>
            <w:tcW w:type="dxa" w:w="34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Task utility before error</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80</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80</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U_task</w:t>
            </w:r>
          </w:p>
        </w:tc>
      </w:tr>
      <w:tr>
        <w:tc>
          <w:tcPr>
            <w:tcW w:type="dxa" w:w="34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Signed-record generation and review</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-6</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w:t>
            </w:r>
          </w:p>
        </w:tc>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C_proc</w:t>
            </w:r>
          </w:p>
        </w:tc>
      </w:tr>
      <w:tr>
        <w:tc>
          <w:tcPr>
            <w:tcW w:type="dxa" w:w="345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Action loss from false verified status</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-24</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C_mis</w:t>
            </w:r>
          </w:p>
        </w:tc>
      </w:tr>
      <w:tr>
        <w:tc>
          <w:tcPr>
            <w:tcW w:type="dxa" w:w="345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Absolute value</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50</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70</w:t>
            </w:r>
          </w:p>
        </w:tc>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W_b</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Pi_ref,H = 50 - 70 = -20 illustrative units    (49)</w:t>
            </w:r>
          </w:p>
        </w:tc>
      </w:tr>
    </w:tbl>
    <w:p>
      <w:pPr>
        <w:spacing w:after="0"/>
      </w:pPr>
    </w:p>
    <w:p>
      <w:pPr>
        <w:pStyle w:val="BodyText"/>
        <w:keepLines w:val="0"/>
        <w:spacing w:before="0" w:after="100" w:line="259" w:lineRule="auto"/>
      </w:pPr>
      <w:r>
        <w:rPr>
          <w:rFonts w:ascii="Liberation Sans" w:hAnsi="Liberation Sans" w:eastAsia="Liberation Sans"/>
          <w:b w:val="0"/>
          <w:i w:val="0"/>
          <w:sz w:val="20"/>
        </w:rPr>
        <w:t>Signature validation establishes issuance under the assumed key assurances. It does not make the signed status field true. The 24-unit action loss is charged once to C_mis.</w:t>
      </w:r>
    </w:p>
    <w:tbl>
      <w:tblPr>
        <w:tblW w:type="auto" w:w="0"/>
        <w:tblLook w:firstColumn="1" w:firstRow="1" w:lastColumn="0" w:lastRow="0" w:noHBand="0" w:noVBand="1" w:val="04A0"/>
      </w:tblPr>
      <w:tblGrid>
        <w:gridCol w:w="10166"/>
      </w:tblGrid>
      <w:tr>
        <w:trPr>
          <w:cantSplit/>
        </w:trPr>
        <w:tc>
          <w:tcPr>
            <w:tcW w:type="dxa" w:w="10166"/>
            <w:shd w:fill="E2F0D9"/>
            <w:tcMar>
              <w:top w:w="105" w:type="dxa"/>
              <w:start w:w="135" w:type="dxa"/>
              <w:bottom w:w="105" w:type="dxa"/>
              <w:end w:w="135" w:type="dxa"/>
            </w:tcMar>
            <w:tcBorders>
              <w:top w:sz="8" w:val="single" w:color="70AD47"/>
              <w:left w:sz="8" w:val="single" w:color="70AD47"/>
              <w:bottom w:sz="8" w:val="single" w:color="70AD47"/>
              <w:right w:sz="8" w:val="single" w:color="70AD47"/>
            </w:tcBorders>
          </w:tcPr>
          <w:p>
            <w:pPr>
              <w:keepLines w:val="0"/>
              <w:spacing w:before="0" w:after="20" w:line="240" w:lineRule="auto"/>
            </w:pPr>
            <w:r>
              <w:rPr>
                <w:rFonts w:ascii="Liberation Sans" w:hAnsi="Liberation Sans" w:eastAsia="Liberation Sans"/>
                <w:b/>
                <w:i w:val="0"/>
                <w:color w:val="385723"/>
                <w:sz w:val="22"/>
              </w:rPr>
              <w:t>CASE I: Selective disclosure and authority laundering</w:t>
            </w:r>
          </w:p>
          <w:p>
            <w:pPr>
              <w:keepLines w:val="0"/>
              <w:spacing w:before="20" w:after="0" w:line="247" w:lineRule="auto"/>
            </w:pPr>
            <w:r>
              <w:rPr>
                <w:rFonts w:ascii="Liberation Sans" w:hAnsi="Liberation Sans" w:eastAsia="Liberation Sans"/>
                <w:b w:val="0"/>
                <w:i/>
                <w:sz w:val="18"/>
              </w:rPr>
              <w:t>Shows overlapping events with distinct harms and one-charge reconciliation.</w:t>
            </w:r>
          </w:p>
        </w:tc>
      </w:tr>
    </w:tbl>
    <w:p>
      <w:pPr>
        <w:pStyle w:val="BodyText"/>
        <w:keepLines w:val="0"/>
        <w:spacing w:before="0" w:after="100" w:line="259" w:lineRule="auto"/>
      </w:pPr>
      <w:r>
        <w:rPr>
          <w:rFonts w:ascii="Liberation Sans" w:hAnsi="Liberation Sans" w:eastAsia="Liberation Sans"/>
          <w:b w:val="0"/>
          <w:i w:val="0"/>
          <w:sz w:val="20"/>
        </w:rPr>
        <w:t>Primitive restatement note: the confirmed +4 provenance contribution is represented as four units of avoided alternative-branch provenance-dispute loss. The confirmed absolute totals and -17 premium are unchanged.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24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Item</w:t>
            </w:r>
          </w:p>
        </w:tc>
        <w:tc>
          <w:tcPr>
            <w:tcW w:type="dxa" w:w="144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Reference</w:t>
            </w:r>
          </w:p>
        </w:tc>
        <w:tc>
          <w:tcPr>
            <w:tcW w:type="dxa" w:w="144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Alternative</w:t>
            </w:r>
          </w:p>
        </w:tc>
        <w:tc>
          <w:tcPr>
            <w:tcW w:type="dxa" w:w="295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Address</w:t>
            </w:r>
          </w:p>
        </w:tc>
      </w:tr>
      <w:tr>
        <w:tc>
          <w:tcPr>
            <w:tcW w:type="dxa" w:w="32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Common task utility baseline</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104</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104</w:t>
            </w:r>
          </w:p>
        </w:tc>
        <w:tc>
          <w:tcPr>
            <w:tcW w:type="dxa" w:w="295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U_task</w:t>
            </w:r>
          </w:p>
        </w:tc>
      </w:tr>
      <w:tr>
        <w:tc>
          <w:tcPr>
            <w:tcW w:type="dxa" w:w="32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Expected provenance-dispute loss</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-4</w:t>
            </w:r>
          </w:p>
        </w:tc>
        <w:tc>
          <w:tcPr>
            <w:tcW w:type="dxa" w:w="295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Lambda_prov</w:t>
            </w:r>
          </w:p>
        </w:tc>
      </w:tr>
      <w:tr>
        <w:tc>
          <w:tcPr>
            <w:tcW w:type="dxa" w:w="32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Initial processing burden</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-5</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-12</w:t>
            </w:r>
          </w:p>
        </w:tc>
        <w:tc>
          <w:tcPr>
            <w:tcW w:type="dxa" w:w="295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C_proc</w:t>
            </w:r>
          </w:p>
        </w:tc>
      </w:tr>
      <w:tr>
        <w:tc>
          <w:tcPr>
            <w:tcW w:type="dxa" w:w="32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Broader decision distortion</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-22</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295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C_mis</w:t>
            </w:r>
          </w:p>
        </w:tc>
      </w:tr>
      <w:tr>
        <w:tc>
          <w:tcPr>
            <w:tcW w:type="dxa" w:w="32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Corrective audit labor</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-6</w:t>
            </w:r>
          </w:p>
        </w:tc>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295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C_proc</w:t>
            </w:r>
          </w:p>
        </w:tc>
      </w:tr>
      <w:tr>
        <w:tc>
          <w:tcPr>
            <w:tcW w:type="dxa" w:w="32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Absolute value</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71</w:t>
            </w:r>
          </w:p>
        </w:tc>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88</w:t>
            </w:r>
          </w:p>
        </w:tc>
        <w:tc>
          <w:tcPr>
            <w:tcW w:type="dxa" w:w="295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W_b</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K_prov,I = 4 ; Pi_ref,I = 71 - 88 = -17 illustrative units    (50)</w:t>
            </w:r>
          </w:p>
        </w:tc>
      </w:tr>
    </w:tbl>
    <w:p>
      <w:pPr>
        <w:spacing w:after="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Step</w:t>
            </w:r>
          </w:p>
        </w:tc>
        <w:tc>
          <w:tcPr>
            <w:tcW w:type="dxa" w:w="784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Controlled reconciliation</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1. Root artifact</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E_art(s) holds: the source is accessible, target-verified, and artifact-scope matched.</w:t>
            </w:r>
          </w:p>
        </w:tc>
      </w:tr>
      <w:tr>
        <w:tc>
          <w:tcPr>
            <w:tcW w:type="dxa" w:w="19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2. Selective disclosure</w:t>
            </w:r>
          </w:p>
        </w:tc>
        <w:tc>
          <w:tcPr>
            <w:tcW w:type="dxa" w:w="78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S_select holds because D omits material evidence and full evidence would change the action.</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3. Authority laundering</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A_launder holds because S_claim(c,s) is false while U_authority transfers source prestige to the broader claim.</w:t>
            </w:r>
          </w:p>
        </w:tc>
      </w:tr>
      <w:tr>
        <w:tc>
          <w:tcPr>
            <w:tcW w:type="dxa" w:w="19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4. Genuine narrow value</w:t>
            </w:r>
          </w:p>
        </w:tc>
        <w:tc>
          <w:tcPr>
            <w:tcW w:type="dxa" w:w="78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The four-unit provenance improvement is represented once as avoided alternative-branch Lambda_prov loss, yielding K_prov = +4.</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5. One-charge routing</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-22 goes once to C_mis; -5 and -6 are distinct process labor in C_proc. No harm is repeated.</w:t>
            </w:r>
          </w:p>
        </w:tc>
      </w:tr>
    </w:tbl>
    <w:p>
      <w:pPr>
        <w:spacing w:after="20"/>
      </w:pPr>
    </w:p>
    <w:tbl>
      <w:tblPr>
        <w:tblW w:type="auto" w:w="0"/>
        <w:tblLook w:firstColumn="1" w:firstRow="1" w:lastColumn="0" w:lastRow="0" w:noHBand="0" w:noVBand="1" w:val="04A0"/>
      </w:tblPr>
      <w:tblGrid>
        <w:gridCol w:w="10166"/>
      </w:tblGrid>
      <w:tr>
        <w:trPr>
          <w:cantSplit/>
        </w:trPr>
        <w:tc>
          <w:tcPr>
            <w:tcW w:type="dxa" w:w="10166"/>
            <w:shd w:fill="E2F0D9"/>
            <w:tcMar>
              <w:top w:w="105" w:type="dxa"/>
              <w:start w:w="135" w:type="dxa"/>
              <w:bottom w:w="105" w:type="dxa"/>
              <w:end w:w="135" w:type="dxa"/>
            </w:tcMar>
            <w:tcBorders>
              <w:top w:sz="8" w:val="single" w:color="70AD47"/>
              <w:left w:sz="8" w:val="single" w:color="70AD47"/>
              <w:bottom w:sz="8" w:val="single" w:color="70AD47"/>
              <w:right w:sz="8" w:val="single" w:color="70AD47"/>
            </w:tcBorders>
          </w:tcPr>
          <w:p>
            <w:pPr>
              <w:keepLines w:val="0"/>
              <w:spacing w:before="0" w:after="20" w:line="240" w:lineRule="auto"/>
            </w:pPr>
            <w:r>
              <w:rPr>
                <w:rFonts w:ascii="Liberation Sans" w:hAnsi="Liberation Sans" w:eastAsia="Liberation Sans"/>
                <w:b/>
                <w:i w:val="0"/>
                <w:color w:val="385723"/>
                <w:sz w:val="22"/>
              </w:rPr>
              <w:t>CASE J: Costly signaling separates only above a type-dependent threshold</w:t>
            </w:r>
          </w:p>
          <w:p>
            <w:pPr>
              <w:keepLines w:val="0"/>
              <w:spacing w:before="20" w:after="0" w:line="247" w:lineRule="auto"/>
            </w:pPr>
            <w:r>
              <w:rPr>
                <w:rFonts w:ascii="Liberation Sans" w:hAnsi="Liberation Sans" w:eastAsia="Liberation Sans"/>
                <w:b w:val="0"/>
                <w:i/>
                <w:sz w:val="18"/>
              </w:rPr>
              <w:t>Shows why expense is not automatic credibility and how separation collapses when imitation becomes affordable.</w:t>
            </w:r>
          </w:p>
        </w:tc>
      </w:tr>
    </w:tbl>
    <w:p>
      <w:pPr>
        <w:pStyle w:val="BodyText"/>
        <w:keepLines w:val="0"/>
        <w:spacing w:before="0" w:after="100" w:line="259" w:lineRule="auto"/>
      </w:pPr>
      <w:r>
        <w:rPr>
          <w:rFonts w:ascii="Liberation Sans" w:hAnsi="Liberation Sans" w:eastAsia="Liberation Sans"/>
          <w:b w:val="0"/>
          <w:i w:val="0"/>
          <w:sz w:val="20"/>
        </w:rPr>
        <w:t>Assume equal acceptance benefit Delta U_H = Delta U_L = 8, high-type signal cost c_H(s) = 3, and low-type cost c_L(s) = 12.</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Type</w:t>
            </w:r>
          </w:p>
        </w:tc>
        <w:tc>
          <w:tcPr>
            <w:tcW w:type="dxa" w:w="288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Signal payoff</w:t>
            </w:r>
          </w:p>
        </w:tc>
        <w:tc>
          <w:tcPr>
            <w:tcW w:type="dxa" w:w="489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Result</w:t>
            </w:r>
          </w:p>
        </w:tc>
      </w:tr>
      <w:tr>
        <w:tc>
          <w:tcPr>
            <w:tcW w:type="dxa" w:w="201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H</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8 - 3 = +5</w:t>
            </w:r>
          </w:p>
        </w:tc>
        <w:tc>
          <w:tcPr>
            <w:tcW w:type="dxa" w:w="48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Signaling is privately worthwhile.</w:t>
            </w:r>
          </w:p>
        </w:tc>
      </w:tr>
      <w:tr>
        <w:tc>
          <w:tcPr>
            <w:tcW w:type="dxa" w:w="201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L</w:t>
            </w:r>
          </w:p>
        </w:tc>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8 - 12 = -4</w:t>
            </w:r>
          </w:p>
        </w:tc>
        <w:tc>
          <w:tcPr>
            <w:tcW w:type="dxa" w:w="489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Imitation is not worthwhile; separation is possible.</w:t>
            </w:r>
          </w:p>
        </w:tc>
      </w:tr>
      <w:tr>
        <w:tc>
          <w:tcPr>
            <w:tcW w:type="dxa" w:w="201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L after cost drop</w:t>
            </w:r>
          </w:p>
        </w:tc>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8 - 5 = +3</w:t>
            </w:r>
          </w:p>
        </w:tc>
        <w:tc>
          <w:tcPr>
            <w:tcW w:type="dxa" w:w="489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Both types signal; separation collapses.</w:t>
            </w:r>
          </w:p>
        </w:tc>
      </w:tr>
    </w:tbl>
    <w:p>
      <w:pPr>
        <w:spacing w:after="20"/>
      </w:pPr>
    </w:p>
    <w:p>
      <w:pPr>
        <w:pStyle w:val="BodyText"/>
        <w:keepLines w:val="0"/>
        <w:spacing w:before="0" w:after="100" w:line="259" w:lineRule="auto"/>
      </w:pPr>
      <w:r>
        <w:rPr>
          <w:rFonts w:ascii="Liberation Sans" w:hAnsi="Liberation Sans" w:eastAsia="Liberation Sans"/>
          <w:b w:val="0"/>
          <w:i w:val="0"/>
          <w:sz w:val="20"/>
        </w:rPr>
        <w:t>This is an incentive-compatibility illustration, not evidence that expensive citation infrastructure is credible in practice. Signal cost, acceptance benefit, type distribution, imitation technology, and independent productivity remain unidentified unless measured.</w:t>
      </w:r>
    </w:p>
    <w:tbl>
      <w:tblPr>
        <w:tblW w:type="auto" w:w="0"/>
        <w:tblLook w:firstColumn="1" w:firstRow="1" w:lastColumn="0" w:lastRow="0" w:noHBand="0" w:noVBand="1" w:val="04A0"/>
      </w:tblPr>
      <w:tblGrid>
        <w:gridCol w:w="10166"/>
      </w:tblGrid>
      <w:tr>
        <w:trPr>
          <w:cantSplit/>
        </w:trPr>
        <w:tc>
          <w:tcPr>
            <w:tcW w:type="dxa" w:w="10166"/>
            <w:shd w:fill="E2F0D9"/>
            <w:tcMar>
              <w:top w:w="105" w:type="dxa"/>
              <w:start w:w="135" w:type="dxa"/>
              <w:bottom w:w="105" w:type="dxa"/>
              <w:end w:w="135" w:type="dxa"/>
            </w:tcMar>
            <w:tcBorders>
              <w:top w:sz="8" w:val="single" w:color="70AD47"/>
              <w:left w:sz="8" w:val="single" w:color="70AD47"/>
              <w:bottom w:sz="8" w:val="single" w:color="70AD47"/>
              <w:right w:sz="8" w:val="single" w:color="70AD47"/>
            </w:tcBorders>
          </w:tcPr>
          <w:p>
            <w:pPr>
              <w:keepLines w:val="0"/>
              <w:spacing w:before="0" w:after="20" w:line="240" w:lineRule="auto"/>
            </w:pPr>
            <w:r>
              <w:rPr>
                <w:rFonts w:ascii="Liberation Sans" w:hAnsi="Liberation Sans" w:eastAsia="Liberation Sans"/>
                <w:b/>
                <w:i w:val="0"/>
                <w:color w:val="385723"/>
                <w:sz w:val="22"/>
              </w:rPr>
              <w:t>CASE K: Dynamic durability premium changes sign under recurring-cost sensitivity</w:t>
            </w:r>
          </w:p>
          <w:p>
            <w:pPr>
              <w:keepLines w:val="0"/>
              <w:spacing w:before="20" w:after="0" w:line="247" w:lineRule="auto"/>
            </w:pPr>
            <w:r>
              <w:rPr>
                <w:rFonts w:ascii="Liberation Sans" w:hAnsi="Liberation Sans" w:eastAsia="Liberation Sans"/>
                <w:b w:val="0"/>
                <w:i/>
                <w:sz w:val="18"/>
              </w:rPr>
              <w:t>Shows that persistence value is conditional on maintenance effectiveness and cost.</w:t>
            </w:r>
          </w:p>
        </w:tc>
      </w:tr>
    </w:tbl>
    <w:p>
      <w:pPr>
        <w:pStyle w:val="BodyText"/>
        <w:keepLines w:val="0"/>
        <w:spacing w:before="0" w:after="100" w:line="259" w:lineRule="auto"/>
      </w:pPr>
      <w:r>
        <w:rPr>
          <w:rFonts w:ascii="Liberation Sans" w:hAnsi="Liberation Sans" w:eastAsia="Liberation Sans"/>
          <w:b w:val="0"/>
          <w:i w:val="0"/>
          <w:sz w:val="20"/>
        </w:rPr>
        <w:t>Gamma_K: five periods, beta = 0.90, setup differential 12, and a base per-period reference advantage of 5 after process and preservation costs. The dynamic Delta C_tot,t used here excludes preservation costs, which are represented only through Delta C_pres,t.</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Pi_ref,K^dyn = -12 + 5(1 + 0.9 + 0.81 + 0.729 + 0.6561) = +8.4755    (51)</w:t>
            </w:r>
          </w:p>
        </w:tc>
      </w:tr>
    </w:tbl>
    <w:p>
      <w:pPr>
        <w:spacing w:after="0"/>
      </w:pPr>
    </w:p>
    <w:p>
      <w:pPr>
        <w:pStyle w:val="BodyText"/>
        <w:keepLines w:val="0"/>
        <w:spacing w:before="0" w:after="100" w:line="259" w:lineRule="auto"/>
      </w:pPr>
      <w:r>
        <w:rPr>
          <w:rFonts w:ascii="Liberation Sans" w:hAnsi="Liberation Sans" w:eastAsia="Liberation Sans"/>
          <w:b w:val="0"/>
          <w:i w:val="0"/>
          <w:sz w:val="20"/>
        </w:rPr>
        <w:t>If recurring preservation and repair costs rise by three units per period, the net per-period advantage falls to two:</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Pi_ref,K^dyn = -12 + 2(1 + 0.9 + 0.81 + 0.729 + 0.6561) = -3.8098    (52)</w:t>
            </w:r>
          </w:p>
        </w:tc>
      </w:tr>
    </w:tbl>
    <w:p>
      <w:pPr>
        <w:spacing w:after="0"/>
      </w:pPr>
    </w:p>
    <w:p>
      <w:pPr>
        <w:pStyle w:val="BodyText"/>
        <w:keepLines w:val="0"/>
        <w:spacing w:before="0" w:after="100" w:line="259" w:lineRule="auto"/>
      </w:pPr>
      <w:r>
        <w:rPr>
          <w:rFonts w:ascii="Liberation Sans" w:hAnsi="Liberation Sans" w:eastAsia="Liberation Sans"/>
          <w:b w:val="0"/>
          <w:i w:val="0"/>
          <w:sz w:val="20"/>
        </w:rPr>
        <w:t>The same reference design changes sign. Intended permanence is not a permanent positive property; it is a dynamic branch result under stated costs, effectiveness, horizon, and discounting.</w:t>
      </w:r>
    </w:p>
    <w:tbl>
      <w:tblPr>
        <w:tblW w:type="auto" w:w="0"/>
        <w:tblLook w:firstColumn="1" w:firstRow="1" w:lastColumn="0" w:lastRow="0" w:noHBand="0" w:noVBand="1" w:val="04A0"/>
      </w:tblPr>
      <w:tblGrid>
        <w:gridCol w:w="10166"/>
      </w:tblGrid>
      <w:tr>
        <w:trPr>
          <w:cantSplit/>
        </w:trPr>
        <w:tc>
          <w:tcPr>
            <w:tcW w:type="dxa" w:w="10166"/>
            <w:shd w:fill="E2F0D9"/>
            <w:tcMar>
              <w:top w:w="105" w:type="dxa"/>
              <w:start w:w="135" w:type="dxa"/>
              <w:bottom w:w="105" w:type="dxa"/>
              <w:end w:w="135" w:type="dxa"/>
            </w:tcMar>
            <w:tcBorders>
              <w:top w:sz="8" w:val="single" w:color="70AD47"/>
              <w:left w:sz="8" w:val="single" w:color="70AD47"/>
              <w:bottom w:sz="8" w:val="single" w:color="70AD47"/>
              <w:right w:sz="8" w:val="single" w:color="70AD47"/>
            </w:tcBorders>
          </w:tcPr>
          <w:p>
            <w:pPr>
              <w:keepLines w:val="0"/>
              <w:spacing w:before="0" w:after="20" w:line="240" w:lineRule="auto"/>
            </w:pPr>
            <w:r>
              <w:rPr>
                <w:rFonts w:ascii="Liberation Sans" w:hAnsi="Liberation Sans" w:eastAsia="Liberation Sans"/>
                <w:b/>
                <w:i w:val="0"/>
                <w:color w:val="385723"/>
                <w:sz w:val="22"/>
              </w:rPr>
              <w:t>CASE L: One root failure can create multiple distinct harms without double counting</w:t>
            </w:r>
          </w:p>
          <w:p>
            <w:pPr>
              <w:keepLines w:val="0"/>
              <w:spacing w:before="20" w:after="0" w:line="247" w:lineRule="auto"/>
            </w:pPr>
            <w:r>
              <w:rPr>
                <w:rFonts w:ascii="Liberation Sans" w:hAnsi="Liberation Sans" w:eastAsia="Liberation Sans"/>
                <w:b w:val="0"/>
                <w:i/>
                <w:sz w:val="18"/>
              </w:rPr>
              <w:t>Demonstrates event overlap versus duplicated harm.</w:t>
            </w:r>
          </w:p>
        </w:tc>
      </w:tr>
    </w:tbl>
    <w:p>
      <w:pPr>
        <w:pStyle w:val="BodyText"/>
        <w:keepLines w:val="0"/>
        <w:spacing w:before="0" w:after="100" w:line="259" w:lineRule="auto"/>
      </w:pPr>
      <w:r>
        <w:rPr>
          <w:rFonts w:ascii="Liberation Sans" w:hAnsi="Liberation Sans" w:eastAsia="Liberation Sans"/>
          <w:b w:val="0"/>
          <w:i w:val="0"/>
          <w:sz w:val="20"/>
        </w:rPr>
        <w:t>Gamma_L: reference retrieval fails, forcing fallback and causing a missed deadline. The retrieval failure is a root event, not itself a terminal cost. Its distinct consequences are routed once.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88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Item</w:t>
            </w:r>
          </w:p>
        </w:tc>
        <w:tc>
          <w:tcPr>
            <w:tcW w:type="dxa" w:w="158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Reference</w:t>
            </w:r>
          </w:p>
        </w:tc>
        <w:tc>
          <w:tcPr>
            <w:tcW w:type="dxa" w:w="158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Alternative</w:t>
            </w:r>
          </w:p>
        </w:tc>
        <w:tc>
          <w:tcPr>
            <w:tcW w:type="dxa" w:w="302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Address</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Task utility</w:t>
            </w:r>
          </w:p>
        </w:tc>
        <w:tc>
          <w:tcPr>
            <w:tcW w:type="dxa" w:w="15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100</w:t>
            </w:r>
          </w:p>
        </w:tc>
        <w:tc>
          <w:tcPr>
            <w:tcW w:type="dxa" w:w="15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100</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U_task</w:t>
            </w:r>
          </w:p>
        </w:tc>
      </w:tr>
      <w:tr>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Pointer transmission</w:t>
            </w:r>
          </w:p>
        </w:tc>
        <w:tc>
          <w:tcPr>
            <w:tcW w:type="dxa" w:w="158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-2</w:t>
            </w:r>
          </w:p>
        </w:tc>
        <w:tc>
          <w:tcPr>
            <w:tcW w:type="dxa" w:w="158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C_tx</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Fallback transmission</w:t>
            </w:r>
          </w:p>
        </w:tc>
        <w:tc>
          <w:tcPr>
            <w:tcW w:type="dxa" w:w="15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-12</w:t>
            </w:r>
          </w:p>
        </w:tc>
        <w:tc>
          <w:tcPr>
            <w:tcW w:type="dxa" w:w="15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-12</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C_tx</w:t>
            </w:r>
          </w:p>
        </w:tc>
      </w:tr>
      <w:tr>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Failed retrieval labor</w:t>
            </w:r>
          </w:p>
        </w:tc>
        <w:tc>
          <w:tcPr>
            <w:tcW w:type="dxa" w:w="158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-4</w:t>
            </w:r>
          </w:p>
        </w:tc>
        <w:tc>
          <w:tcPr>
            <w:tcW w:type="dxa" w:w="158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-2</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C_proc</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Missed-window consequence</w:t>
            </w:r>
          </w:p>
        </w:tc>
        <w:tc>
          <w:tcPr>
            <w:tcW w:type="dxa" w:w="15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-20</w:t>
            </w:r>
          </w:p>
        </w:tc>
        <w:tc>
          <w:tcPr>
            <w:tcW w:type="dxa" w:w="158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C_fail</w:t>
            </w:r>
          </w:p>
        </w:tc>
      </w:tr>
      <w:tr>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Absolute value</w:t>
            </w:r>
          </w:p>
        </w:tc>
        <w:tc>
          <w:tcPr>
            <w:tcW w:type="dxa" w:w="158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62</w:t>
            </w:r>
          </w:p>
        </w:tc>
        <w:tc>
          <w:tcPr>
            <w:tcW w:type="dxa" w:w="158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86</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W_b</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Pi_ref,L = 62 - 86 = -24 illustrative units    (53)</w:t>
            </w:r>
          </w:p>
        </w:tc>
      </w:tr>
    </w:tbl>
    <w:p>
      <w:pPr>
        <w:spacing w:after="0"/>
      </w:pPr>
    </w:p>
    <w:p>
      <w:pPr>
        <w:pStyle w:val="BodyText"/>
        <w:keepLines w:val="0"/>
        <w:spacing w:before="0" w:after="100" w:line="259" w:lineRule="auto"/>
      </w:pPr>
      <w:r>
        <w:rPr>
          <w:rFonts w:ascii="Liberation Sans" w:hAnsi="Liberation Sans" w:eastAsia="Liberation Sans"/>
          <w:b w:val="0"/>
          <w:i w:val="0"/>
          <w:sz w:val="20"/>
        </w:rPr>
        <w:t>Fallback transmission cancels. The incremental harms are the pointer (2), extra retrieval labor (2), and missed-window consequence (20). No generic failure cost is added on top. Event overlap is permitted; duplicated concrete harm is not.</w:t>
      </w:r>
    </w:p>
    <w:tbl>
      <w:tblPr>
        <w:tblW w:type="auto" w:w="0"/>
        <w:tblLook w:firstColumn="1" w:firstRow="1" w:lastColumn="0" w:lastRow="0" w:noHBand="0" w:noVBand="1" w:val="04A0"/>
      </w:tblPr>
      <w:tblGrid>
        <w:gridCol w:w="10166"/>
      </w:tblGrid>
      <w:tr>
        <w:trPr>
          <w:cantSplit/>
        </w:trPr>
        <w:tc>
          <w:tcPr>
            <w:tcW w:type="dxa" w:w="10166"/>
            <w:shd w:fill="E2F0D9"/>
            <w:tcMar>
              <w:top w:w="105" w:type="dxa"/>
              <w:start w:w="135" w:type="dxa"/>
              <w:bottom w:w="105" w:type="dxa"/>
              <w:end w:w="135" w:type="dxa"/>
            </w:tcMar>
            <w:tcBorders>
              <w:top w:sz="8" w:val="single" w:color="70AD47"/>
              <w:left w:sz="8" w:val="single" w:color="70AD47"/>
              <w:bottom w:sz="8" w:val="single" w:color="70AD47"/>
              <w:right w:sz="8" w:val="single" w:color="70AD47"/>
            </w:tcBorders>
          </w:tcPr>
          <w:p>
            <w:pPr>
              <w:keepLines w:val="0"/>
              <w:spacing w:before="0" w:after="20" w:line="240" w:lineRule="auto"/>
            </w:pPr>
            <w:r>
              <w:rPr>
                <w:rFonts w:ascii="Liberation Sans" w:hAnsi="Liberation Sans" w:eastAsia="Liberation Sans"/>
                <w:b/>
                <w:i w:val="0"/>
                <w:color w:val="385723"/>
                <w:sz w:val="22"/>
              </w:rPr>
              <w:t>CASE M: A positive baseline can remain sign-unidentified</w:t>
            </w:r>
          </w:p>
          <w:p>
            <w:pPr>
              <w:keepLines w:val="0"/>
              <w:spacing w:before="20" w:after="0" w:line="247" w:lineRule="auto"/>
            </w:pPr>
            <w:r>
              <w:rPr>
                <w:rFonts w:ascii="Liberation Sans" w:hAnsi="Liberation Sans" w:eastAsia="Liberation Sans"/>
                <w:b w:val="0"/>
                <w:i/>
                <w:sz w:val="18"/>
              </w:rPr>
              <w:t>Applies the robust-sign rule when unobserved strategic and external effects cross zero.</w:t>
            </w:r>
          </w:p>
        </w:tc>
      </w:tr>
    </w:tbl>
    <w:p>
      <w:pPr>
        <w:pStyle w:val="BodyText"/>
        <w:keepLines w:val="0"/>
        <w:spacing w:before="0" w:after="100" w:line="259" w:lineRule="auto"/>
      </w:pPr>
      <w:r>
        <w:rPr>
          <w:rFonts w:ascii="Liberation Sans" w:hAnsi="Liberation Sans" w:eastAsia="Liberation Sans"/>
          <w:b w:val="0"/>
          <w:i w:val="0"/>
          <w:sz w:val="20"/>
        </w:rPr>
        <w:t>Gamma_M yields a baseline premium of +12 from observed and scenario-fixed components. Hidden evidence completeness, authority inference, correlated failure, and external effects jointly contribute an admissible interval from -21 to +19.</w:t>
      </w:r>
    </w:p>
    <w:tbl>
      <w:tblPr>
        <w:tblW w:type="auto" w:w="0"/>
        <w:jc w:val="center"/>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Borders>
              <w:top w:sz="4" w:val="single" w:color="9FBAD0"/>
              <w:left w:sz="4" w:val="single" w:color="9FBAD0"/>
              <w:bottom w:sz="4" w:val="single" w:color="9FBAD0"/>
              <w:right w:sz="4" w:val="single" w:color="9FBAD0"/>
            </w:tcBorders>
          </w:tcPr>
          <w:p>
            <w:pPr>
              <w:keepLines/>
              <w:spacing w:before="0" w:after="0" w:line="240" w:lineRule="auto"/>
              <w:jc w:val="center"/>
            </w:pPr>
            <w:r>
              <w:rPr>
                <w:rFonts w:ascii="Liberation Serif" w:hAnsi="Liberation Serif" w:eastAsia="Liberation Serif"/>
                <w:b w:val="0"/>
                <w:i w:val="0"/>
                <w:sz w:val="20"/>
              </w:rPr>
              <w:t>Pi_ref,M in 12 + [-21, +19] = [-9, +31]    (54)</w:t>
            </w:r>
          </w:p>
        </w:tc>
      </w:tr>
    </w:tbl>
    <w:p>
      <w:pPr>
        <w:spacing w:after="0"/>
      </w:pPr>
      <w:r>
        <w:t>Robust-sign branch-display qualification. Case M evaluates uncertainty-indexed branch functions W_ref,M(theta) and W_alt,M(theta), with Pi_ref,M(theta) = W_ref,M(theta) - W_alt,M(theta) for theta in Theta_M. At the stated baseline parameter vector theta_0, the premium is +12. Across the admissible set, the premium lies in [-9, +31]. Because the underlying branches are uncertainty-indexed rather than fixed scalar totals, this case reports the branch functions and premium bounds directly and does not assert unique absolute scalar values for W_ref,M and W_alt,M.</w:t>
      </w:r>
    </w:p>
    <w:p>
      <w:pPr>
        <w:pStyle w:val="BodyText"/>
        <w:keepLines w:val="0"/>
        <w:spacing w:before="0" w:after="100" w:line="259" w:lineRule="auto"/>
      </w:pPr>
      <w:r>
        <w:rPr>
          <w:rFonts w:ascii="Liberation Sans" w:hAnsi="Liberation Sans" w:eastAsia="Liberation Sans"/>
          <w:b w:val="0"/>
          <w:i w:val="0"/>
          <w:sz w:val="20"/>
        </w:rPr>
        <w:t>Because the interval crosses zero, the paper may not report a positive premium. The correct conclusion is sign indeterminacy. The next analytical question is which parameters or thresholds drive the reversal, not which favorable point estimate should be selected.</w:t>
      </w:r>
    </w:p>
    <w:p>
      <w:pPr>
        <w:pStyle w:val="Heading1"/>
        <w:keepNext/>
        <w:pageBreakBefore w:val="0"/>
        <w:spacing w:before="0" w:after="140"/>
      </w:pPr>
      <w:r>
        <w:rPr>
          <w:rFonts w:ascii="Liberation Sans" w:hAnsi="Liberation Sans" w:eastAsia="Liberation Sans"/>
          <w:b/>
          <w:i w:val="0"/>
          <w:color w:val="1F4E78"/>
          <w:sz w:val="31"/>
        </w:rPr>
        <w:t>14. Sensitivity and Robustness</w:t>
      </w:r>
    </w:p>
    <w:p>
      <w:pPr>
        <w:pStyle w:val="BodyText"/>
        <w:keepLines w:val="0"/>
        <w:spacing w:before="0" w:after="100" w:line="259" w:lineRule="auto"/>
      </w:pPr>
      <w:r>
        <w:rPr>
          <w:rFonts w:ascii="Liberation Sans" w:hAnsi="Liberation Sans" w:eastAsia="Liberation Sans"/>
          <w:b w:val="0"/>
          <w:i w:val="0"/>
          <w:sz w:val="20"/>
        </w:rPr>
        <w:t>A reference-premium estimate is incomplete without joint sensitivity. Varying one parameter at a time can conceal correlated failure, strategic interaction, selection, and threshold effects. The controlling registry below preserves the exact S1-S10 meanings from the Integration Package v0.1.1; the labels are therefore stable across the prose, appendices, schema records, and worked examples.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Registry family</w:t>
            </w:r>
          </w:p>
        </w:tc>
        <w:tc>
          <w:tcPr>
            <w:tcW w:type="dxa" w:w="756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Axes to vary</w:t>
            </w:r>
          </w:p>
        </w:tc>
      </w:tr>
      <w:tr>
        <w:tc>
          <w:tcPr>
            <w:tcW w:type="dxa" w:w="22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S1 Baseline and selection</w:t>
            </w:r>
          </w:p>
        </w:tc>
        <w:tc>
          <w:tcPr>
            <w:tcW w:type="dxa" w:w="756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Omega, alternative branch, optional versus mandatory use, affected-party scope, selection into visible or successful cases.</w:t>
            </w:r>
          </w:p>
        </w:tc>
      </w:tr>
      <w:tr>
        <w:tc>
          <w:tcPr>
            <w:tcW w:type="dxa" w:w="22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S2 Epistemic sufficiency</w:t>
            </w:r>
          </w:p>
        </w:tc>
        <w:tc>
          <w:tcPr>
            <w:tcW w:type="dxa" w:w="75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Depth d, thresholds tau or tau_j, timing window, message failure, payoff discontinuity, unilateral-reliance loss, and belief-behavior mapping.</w:t>
            </w:r>
          </w:p>
        </w:tc>
      </w:tr>
      <w:tr>
        <w:tc>
          <w:tcPr>
            <w:tcW w:type="dxa" w:w="22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S3 Information and welfare</w:t>
            </w:r>
          </w:p>
        </w:tc>
        <w:tc>
          <w:tcPr>
            <w:tcW w:type="dxa" w:w="756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Public-anchor accuracy, private-signal quality and diversity, crowd-out, coordination motive, common-mode loss, welfare weights, and reversibility.</w:t>
            </w:r>
          </w:p>
        </w:tc>
      </w:tr>
      <w:tr>
        <w:tc>
          <w:tcPr>
            <w:tcW w:type="dxa" w:w="22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S4 Communication topology</w:t>
            </w:r>
          </w:p>
        </w:tc>
        <w:tc>
          <w:tcPr>
            <w:tcW w:type="dxa" w:w="75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Recipient count, broadcast, multicast, point-to-point delivery, pointer and metadata size, payload scope, side information, caches, format support, and fallback.</w:t>
            </w:r>
          </w:p>
        </w:tc>
      </w:tr>
      <w:tr>
        <w:tc>
          <w:tcPr>
            <w:tcW w:type="dxa" w:w="22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S5 Process and failure burden</w:t>
            </w:r>
          </w:p>
        </w:tc>
        <w:tc>
          <w:tcPr>
            <w:tcW w:type="dxa" w:w="756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Resolution, retrieval, decoding, verification, interpretation, audit capacity, delay, correction, and process cost from near zero to prohibitive. Repair or correction is controlled here when the same burden also appears in S6.</w:t>
            </w:r>
          </w:p>
        </w:tc>
      </w:tr>
      <w:tr>
        <w:tc>
          <w:tcPr>
            <w:tcW w:type="dxa" w:w="22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S6 Durability and dependence</w:t>
            </w:r>
          </w:p>
        </w:tc>
        <w:tc>
          <w:tcPr>
            <w:tcW w:type="dxa" w:w="75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Horizon, beta, demand frequency, link, content, and resolver drift, archive sparsity, mirror correlation, access restrictions, migration, and repair. A shared repair burden is varied once and cross-referenced to S5.</w:t>
            </w:r>
          </w:p>
        </w:tc>
      </w:tr>
      <w:tr>
        <w:tc>
          <w:tcPr>
            <w:tcW w:type="dxa" w:w="22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S7 Strategic behavior</w:t>
            </w:r>
          </w:p>
        </w:tc>
        <w:tc>
          <w:tcPr>
            <w:tcW w:type="dxa" w:w="756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Preference alignment, lying and signal-cost differentials, omission detection, disclosure cost, source flooding, consensus simulation, and receiver skepticism.</w:t>
            </w:r>
          </w:p>
        </w:tc>
      </w:tr>
      <w:tr>
        <w:tc>
          <w:tcPr>
            <w:tcW w:type="dxa" w:w="22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S8 Identity and authority dependencies</w:t>
            </w:r>
          </w:p>
        </w:tc>
        <w:tc>
          <w:tcPr>
            <w:tcW w:type="dxa" w:w="75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Key compromise, delegated signing, identity binding, timestamp authority, authorization disputes, and repository or operator identity.</w:t>
            </w:r>
          </w:p>
        </w:tc>
      </w:tr>
      <w:tr>
        <w:tc>
          <w:tcPr>
            <w:tcW w:type="dxa" w:w="22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S9 Leakage and adversarial adaptation</w:t>
            </w:r>
          </w:p>
        </w:tc>
        <w:tc>
          <w:tcPr>
            <w:tcW w:type="dxa" w:w="756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Pointer, metadata, recipient list, access pattern, evidence-state disclosure, adaptive misuse, and privacy or security externalities.</w:t>
            </w:r>
          </w:p>
        </w:tc>
      </w:tr>
      <w:tr>
        <w:tc>
          <w:tcPr>
            <w:tcW w:type="dxa" w:w="22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S10 Calibration and model uncertainty</w:t>
            </w:r>
          </w:p>
        </w:tc>
        <w:tc>
          <w:tcPr>
            <w:tcW w:type="dxa" w:w="75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Historical transfer, model form, priors, dependence, reviewer disagreement, normative authority, interval width, and unidentified parameters.</w:t>
            </w:r>
          </w:p>
        </w:tc>
      </w:tr>
    </w:tbl>
    <w:p>
      <w:pPr>
        <w:spacing w:after="20"/>
      </w:pPr>
    </w:p>
    <w:p>
      <w:pPr>
        <w:pStyle w:val="BodyText"/>
        <w:keepLines w:val="0"/>
        <w:spacing w:before="0" w:after="100" w:line="259" w:lineRule="auto"/>
      </w:pPr>
      <w:r>
        <w:rPr>
          <w:rFonts w:ascii="Liberation Sans" w:hAnsi="Liberation Sans" w:eastAsia="Liberation Sans"/>
          <w:b w:val="0"/>
          <w:i w:val="0"/>
          <w:sz w:val="20"/>
        </w:rPr>
        <w:t>The tables below are illustrative stress tests, not empirical calibrations. They are included to deliver the sensitivity outputs required by the controlling integration package. Each stressed quantity remains scenario-fixed unless separately measured, and every added loss is assigned once.</w:t>
      </w:r>
    </w:p>
    <w:p>
      <w:pPr>
        <w:pStyle w:val="Heading2"/>
        <w:keepNext/>
        <w:pageBreakBefore w:val="0"/>
        <w:spacing w:before="160" w:after="80"/>
      </w:pPr>
      <w:r>
        <w:rPr>
          <w:rFonts w:ascii="Liberation Sans" w:hAnsi="Liberation Sans" w:eastAsia="Liberation Sans"/>
          <w:b/>
          <w:i w:val="0"/>
          <w:color w:val="2F75B5"/>
          <w:sz w:val="25"/>
        </w:rPr>
        <w:t>14.1 One-way sign thresholds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66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5"/>
              </w:rPr>
              <w:t>Scenario and varied quantity</w:t>
            </w:r>
          </w:p>
        </w:tc>
        <w:tc>
          <w:tcPr>
            <w:tcW w:type="dxa" w:w="223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5"/>
              </w:rPr>
              <w:t>Premium expression</w:t>
            </w:r>
          </w:p>
        </w:tc>
        <w:tc>
          <w:tcPr>
            <w:tcW w:type="dxa" w:w="273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5"/>
              </w:rPr>
              <w:t>Zero or robustness threshold</w:t>
            </w:r>
          </w:p>
        </w:tc>
        <w:tc>
          <w:tcPr>
            <w:tcW w:type="dxa" w:w="216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5"/>
              </w:rPr>
              <w:t>Baseline conclusion</w:t>
            </w:r>
          </w:p>
        </w:tc>
      </w:tr>
      <w:tr>
        <w:tc>
          <w:tcPr>
            <w:tcW w:type="dxa" w:w="266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Case A: additional reference-side process differential q_A</w:t>
            </w:r>
          </w:p>
        </w:tc>
        <w:tc>
          <w:tcPr>
            <w:tcW w:type="dxa" w:w="22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Pi_A = 30 - q_A</w:t>
            </w:r>
          </w:p>
        </w:tc>
        <w:tc>
          <w:tcPr>
            <w:tcW w:type="dxa" w:w="273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q_A = 30</w:t>
            </w:r>
          </w:p>
        </w:tc>
        <w:tc>
          <w:tcPr>
            <w:tcW w:type="dxa" w:w="216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q_A = 5 gives +25; above 30 the sign is negative.</w:t>
            </w:r>
          </w:p>
        </w:tc>
      </w:tr>
      <w:tr>
        <w:tc>
          <w:tcPr>
            <w:tcW w:type="dxa" w:w="266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Case C: gross task advantage g_C</w:t>
            </w:r>
          </w:p>
        </w:tc>
        <w:tc>
          <w:tcPr>
            <w:tcW w:type="dxa" w:w="22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Pi_C = g_C - 44</w:t>
            </w:r>
          </w:p>
        </w:tc>
        <w:tc>
          <w:tcPr>
            <w:tcW w:type="dxa" w:w="273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g_C = 44</w:t>
            </w:r>
          </w:p>
        </w:tc>
        <w:tc>
          <w:tcPr>
            <w:tcW w:type="dxa" w:w="21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g_C = 30 gives -14; gross value must exceed 44 to offset the disclosed burdens.</w:t>
            </w:r>
          </w:p>
        </w:tc>
      </w:tr>
      <w:tr>
        <w:tc>
          <w:tcPr>
            <w:tcW w:type="dxa" w:w="266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Case D: additional recipient-processing differential q_D</w:t>
            </w:r>
          </w:p>
        </w:tc>
        <w:tc>
          <w:tcPr>
            <w:tcW w:type="dxa" w:w="22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Pi_D = 107 - q_D</w:t>
            </w:r>
          </w:p>
        </w:tc>
        <w:tc>
          <w:tcPr>
            <w:tcW w:type="dxa" w:w="273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q_D = 107</w:t>
            </w:r>
          </w:p>
        </w:tc>
        <w:tc>
          <w:tcPr>
            <w:tcW w:type="dxa" w:w="216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q_D = 35 gives +72; process burden above 107 reverses the sign.</w:t>
            </w:r>
          </w:p>
        </w:tc>
      </w:tr>
      <w:tr>
        <w:tc>
          <w:tcPr>
            <w:tcW w:type="dxa" w:w="266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Case F: residual misclassification loss m_F</w:t>
            </w:r>
          </w:p>
        </w:tc>
        <w:tc>
          <w:tcPr>
            <w:tcW w:type="dxa" w:w="22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Pi_F = 21 - m_F</w:t>
            </w:r>
          </w:p>
        </w:tc>
        <w:tc>
          <w:tcPr>
            <w:tcW w:type="dxa" w:w="273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m_F = 21</w:t>
            </w:r>
          </w:p>
        </w:tc>
        <w:tc>
          <w:tcPr>
            <w:tcW w:type="dxa" w:w="21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m_F = 2 gives +19; residual loss at or above 21 removes the positive premium.</w:t>
            </w:r>
          </w:p>
        </w:tc>
      </w:tr>
      <w:tr>
        <w:tc>
          <w:tcPr>
            <w:tcW w:type="dxa" w:w="266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Case K: net recurring advantage a_K</w:t>
            </w:r>
          </w:p>
        </w:tc>
        <w:tc>
          <w:tcPr>
            <w:tcW w:type="dxa" w:w="22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Pi_K = -12 + 4.0951 a_K</w:t>
            </w:r>
          </w:p>
        </w:tc>
        <w:tc>
          <w:tcPr>
            <w:tcW w:type="dxa" w:w="273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a_K approximately 2.9303</w:t>
            </w:r>
          </w:p>
        </w:tc>
        <w:tc>
          <w:tcPr>
            <w:tcW w:type="dxa" w:w="216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a_K = 5 gives +8.4755; a_K = 2 gives -3.8098.</w:t>
            </w:r>
          </w:p>
        </w:tc>
      </w:tr>
      <w:tr>
        <w:tc>
          <w:tcPr>
            <w:tcW w:type="dxa" w:w="266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Case M: baseline b_M with hidden interval [-21,+19]</w:t>
            </w:r>
          </w:p>
        </w:tc>
        <w:tc>
          <w:tcPr>
            <w:tcW w:type="dxa" w:w="22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Pi_M in [b_M - 21, b_M + 19]</w:t>
            </w:r>
          </w:p>
        </w:tc>
        <w:tc>
          <w:tcPr>
            <w:tcW w:type="dxa" w:w="273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Robust positive only if b_M &gt; 21; robust negative only if b_M &lt; -19</w:t>
            </w:r>
          </w:p>
        </w:tc>
        <w:tc>
          <w:tcPr>
            <w:tcW w:type="dxa" w:w="21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b_M = 12 yields [-9,+31], so the sign is unidentified.</w:t>
            </w:r>
          </w:p>
        </w:tc>
      </w:tr>
    </w:tbl>
    <w:p>
      <w:pPr>
        <w:spacing w:after="20"/>
      </w:pPr>
    </w:p>
    <w:p>
      <w:pPr>
        <w:pStyle w:val="BodyText"/>
        <w:keepLines w:val="0"/>
        <w:spacing w:before="0" w:after="100" w:line="259" w:lineRule="auto"/>
      </w:pPr>
      <w:r>
        <w:rPr>
          <w:rFonts w:ascii="Liberation Sans" w:hAnsi="Liberation Sans" w:eastAsia="Liberation Sans"/>
          <w:b w:val="0"/>
          <w:i w:val="0"/>
          <w:sz w:val="20"/>
        </w:rPr>
        <w:t>These thresholds are properties of the disclosed numerical constructions, not universal constants. A different Omega, alternative branch, objective, or dependence model changes them.</w:t>
      </w:r>
    </w:p>
    <w:p>
      <w:pPr>
        <w:pStyle w:val="Heading2"/>
        <w:keepNext/>
        <w:pageBreakBefore w:val="0"/>
        <w:spacing w:before="160" w:after="80"/>
      </w:pPr>
      <w:r>
        <w:rPr>
          <w:rFonts w:ascii="Liberation Sans" w:hAnsi="Liberation Sans" w:eastAsia="Liberation Sans"/>
          <w:b/>
          <w:i w:val="0"/>
          <w:color w:val="2F75B5"/>
          <w:sz w:val="25"/>
        </w:rPr>
        <w:t>14.2 Per-family stress-test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4"/>
              </w:rPr>
              <w:t>Family</w:t>
            </w:r>
          </w:p>
        </w:tc>
        <w:tc>
          <w:tcPr>
            <w:tcW w:type="dxa" w:w="468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4"/>
              </w:rPr>
              <w:t>Illustrative joint stress</w:t>
            </w:r>
          </w:p>
        </w:tc>
        <w:tc>
          <w:tcPr>
            <w:tcW w:type="dxa" w:w="208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4"/>
              </w:rPr>
              <w:t>Result</w:t>
            </w:r>
          </w:p>
        </w:tc>
        <w:tc>
          <w:tcPr>
            <w:tcW w:type="dxa" w:w="237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4"/>
              </w:rPr>
              <w:t>Interpretation</w:t>
            </w:r>
          </w:p>
        </w:tc>
      </w:tr>
      <w:tr>
        <w:tc>
          <w:tcPr>
            <w:tcW w:type="dxa" w:w="6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4"/>
              </w:rPr>
              <w:t>S1</w:t>
            </w:r>
          </w:p>
        </w:tc>
        <w:tc>
          <w:tcPr>
            <w:tcW w:type="dxa" w:w="46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Include 20 inaccessible participants omitted by a visible-user-only sample.</w:t>
            </w:r>
          </w:p>
        </w:tc>
        <w:tc>
          <w:tcPr>
            <w:tcW w:type="dxa" w:w="20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Selected sample +10; full Omega -4.</w:t>
            </w:r>
          </w:p>
        </w:tc>
        <w:tc>
          <w:tcPr>
            <w:tcW w:type="dxa" w:w="237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Selection into successful cases can reverse the sign; see Section 14.4.</w:t>
            </w:r>
          </w:p>
        </w:tc>
      </w:tr>
      <w:tr>
        <w:tc>
          <w:tcPr>
            <w:tcW w:type="dxa" w:w="6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4"/>
              </w:rPr>
              <w:t>S2</w:t>
            </w:r>
          </w:p>
        </w:tc>
        <w:tc>
          <w:tcPr>
            <w:tcW w:type="dxa" w:w="46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Weaken the task-sufficiency bridge and tighten timing so Case A K_coord falls from +20 to -6.</w:t>
            </w:r>
          </w:p>
        </w:tc>
        <w:tc>
          <w:tcPr>
            <w:tcW w:type="dxa" w:w="20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Pi_A = -6 + 10 - 5 = -1.</w:t>
            </w:r>
          </w:p>
        </w:tc>
        <w:tc>
          <w:tcPr>
            <w:tcW w:type="dxa" w:w="237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Finite depth is valuable only through a disclosed task and timing bridge.</w:t>
            </w:r>
          </w:p>
        </w:tc>
      </w:tr>
      <w:tr>
        <w:tc>
          <w:tcPr>
            <w:tcW w:type="dxa" w:w="6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4"/>
              </w:rPr>
              <w:t>S3</w:t>
            </w:r>
          </w:p>
        </w:tc>
        <w:tc>
          <w:tcPr>
            <w:tcW w:type="dxa" w:w="46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Raise Case C gross advantage from 30 to 45 while reducing crowd-out from 10 to 5.</w:t>
            </w:r>
          </w:p>
        </w:tc>
        <w:tc>
          <w:tcPr>
            <w:tcW w:type="dxa" w:w="20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Pi_C = 45 - 26 - 8 - 5 = +6.</w:t>
            </w:r>
          </w:p>
        </w:tc>
        <w:tc>
          <w:tcPr>
            <w:tcW w:type="dxa" w:w="237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Information accuracy and welfare externalities jointly determine net sign.</w:t>
            </w:r>
          </w:p>
        </w:tc>
      </w:tr>
      <w:tr>
        <w:tc>
          <w:tcPr>
            <w:tcW w:type="dxa" w:w="6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4"/>
              </w:rPr>
              <w:t>S4</w:t>
            </w:r>
          </w:p>
        </w:tc>
        <w:tc>
          <w:tcPr>
            <w:tcW w:type="dxa" w:w="46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Increase Case D reference transmission from 13 to 85 through larger metadata and weaker side information, with alternative traffic fixed at 120.</w:t>
            </w:r>
          </w:p>
        </w:tc>
        <w:tc>
          <w:tcPr>
            <w:tcW w:type="dxa" w:w="20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K_comp = 35; with q_D = 35, Pi_D = 0.</w:t>
            </w:r>
          </w:p>
        </w:tc>
        <w:tc>
          <w:tcPr>
            <w:tcW w:type="dxa" w:w="237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Broadcast advantage disappears at the topology threshold.</w:t>
            </w:r>
          </w:p>
        </w:tc>
      </w:tr>
      <w:tr>
        <w:tc>
          <w:tcPr>
            <w:tcW w:type="dxa" w:w="6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4"/>
              </w:rPr>
              <w:t>S5</w:t>
            </w:r>
          </w:p>
        </w:tc>
        <w:tc>
          <w:tcPr>
            <w:tcW w:type="dxa" w:w="46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Raise Case D additional recipient-processing and failure burden from 35 to 120.</w:t>
            </w:r>
          </w:p>
        </w:tc>
        <w:tc>
          <w:tcPr>
            <w:tcW w:type="dxa" w:w="20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Pi_D = 107 - 120 = -13.</w:t>
            </w:r>
          </w:p>
        </w:tc>
        <w:tc>
          <w:tcPr>
            <w:tcW w:type="dxa" w:w="237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Sender savings do not cap total recipient-side burden.</w:t>
            </w:r>
          </w:p>
        </w:tc>
      </w:tr>
      <w:tr>
        <w:tc>
          <w:tcPr>
            <w:tcW w:type="dxa" w:w="6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4"/>
              </w:rPr>
              <w:t>S6</w:t>
            </w:r>
          </w:p>
        </w:tc>
        <w:tc>
          <w:tcPr>
            <w:tcW w:type="dxa" w:w="46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Raise recurring preservation and repair burden so Case K net recurring advantage falls from 5 to 2 at beta = 0.90.</w:t>
            </w:r>
          </w:p>
        </w:tc>
        <w:tc>
          <w:tcPr>
            <w:tcW w:type="dxa" w:w="20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Dynamic premium changes from +8.4755 to -3.8098.</w:t>
            </w:r>
          </w:p>
        </w:tc>
        <w:tc>
          <w:tcPr>
            <w:tcW w:type="dxa" w:w="237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Durability value is conditional on recurring effectiveness, cost, horizon, and dependence.</w:t>
            </w:r>
          </w:p>
        </w:tc>
      </w:tr>
      <w:tr>
        <w:tc>
          <w:tcPr>
            <w:tcW w:type="dxa" w:w="6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4"/>
              </w:rPr>
              <w:t>S7</w:t>
            </w:r>
          </w:p>
        </w:tc>
        <w:tc>
          <w:tcPr>
            <w:tcW w:type="dxa" w:w="46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Use the authentic but non-supporting citation in Case G with receiver reliance and an 18-unit distortion loss.</w:t>
            </w:r>
          </w:p>
        </w:tc>
        <w:tc>
          <w:tcPr>
            <w:tcW w:type="dxa" w:w="20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K_comp = +2 but Pi_G = -16.</w:t>
            </w:r>
          </w:p>
        </w:tc>
        <w:tc>
          <w:tcPr>
            <w:tcW w:type="dxa" w:w="237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Strategic misuse can dominate a real transmission saving.</w:t>
            </w:r>
          </w:p>
        </w:tc>
      </w:tr>
      <w:tr>
        <w:tc>
          <w:tcPr>
            <w:tcW w:type="dxa" w:w="6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4"/>
              </w:rPr>
              <w:t>S8</w:t>
            </w:r>
          </w:p>
        </w:tc>
        <w:tc>
          <w:tcPr>
            <w:tcW w:type="dxa" w:w="46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Add one 20-unit identity or authorization dependency loss to otherwise positive Case F.</w:t>
            </w:r>
          </w:p>
        </w:tc>
        <w:tc>
          <w:tcPr>
            <w:tcW w:type="dxa" w:w="20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Pi_F = +19 - 20 = -1.</w:t>
            </w:r>
          </w:p>
        </w:tc>
        <w:tc>
          <w:tcPr>
            <w:tcW w:type="dxa" w:w="237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Issuance and identity dependencies can reverse a provenance advantage; the loss is charged once.</w:t>
            </w:r>
          </w:p>
        </w:tc>
      </w:tr>
      <w:tr>
        <w:tc>
          <w:tcPr>
            <w:tcW w:type="dxa" w:w="6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4"/>
              </w:rPr>
              <w:t>S9</w:t>
            </w:r>
          </w:p>
        </w:tc>
        <w:tc>
          <w:tcPr>
            <w:tcW w:type="dxa" w:w="46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Add a 24-unit privacy or adaptive-misuse externality to Case F because the pointer and access pattern reveal the evidence state.</w:t>
            </w:r>
          </w:p>
        </w:tc>
        <w:tc>
          <w:tcPr>
            <w:tcW w:type="dxa" w:w="20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Pi_F = +19 - 24 = -5.</w:t>
            </w:r>
          </w:p>
        </w:tc>
        <w:tc>
          <w:tcPr>
            <w:tcW w:type="dxa" w:w="237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Reference visibility can create adversarial or privacy costs outside the four positive channels.</w:t>
            </w:r>
          </w:p>
        </w:tc>
      </w:tr>
      <w:tr>
        <w:tc>
          <w:tcPr>
            <w:tcW w:type="dxa" w:w="6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4"/>
              </w:rPr>
              <w:t>S10</w:t>
            </w:r>
          </w:p>
        </w:tc>
        <w:tc>
          <w:tcPr>
            <w:tcW w:type="dxa" w:w="46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Widen jointly uncertain strategic, dependence, and model-form terms as in Case M.</w:t>
            </w:r>
          </w:p>
        </w:tc>
        <w:tc>
          <w:tcPr>
            <w:tcW w:type="dxa" w:w="20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Pi_M in [-9,+31].</w:t>
            </w:r>
          </w:p>
        </w:tc>
        <w:tc>
          <w:tcPr>
            <w:tcW w:type="dxa" w:w="237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4"/>
              </w:rPr>
              <w:t>Reviewer disagreement or model uncertainty that crosses zero requires sign indeterminacy.</w:t>
            </w:r>
          </w:p>
        </w:tc>
      </w:tr>
    </w:tbl>
    <w:p>
      <w:pPr>
        <w:spacing w:after="20"/>
      </w:pPr>
    </w:p>
    <w:p>
      <w:pPr>
        <w:pStyle w:val="BodyText"/>
        <w:keepLines w:val="0"/>
        <w:spacing w:before="0" w:after="100" w:line="259" w:lineRule="auto"/>
      </w:pPr>
      <w:r>
        <w:rPr>
          <w:rFonts w:ascii="Liberation Sans" w:hAnsi="Liberation Sans" w:eastAsia="Liberation Sans"/>
          <w:b w:val="0"/>
          <w:i w:val="0"/>
          <w:sz w:val="20"/>
        </w:rPr>
        <w:t>The S5 and S6 rows cross-reference one repair mechanism rather than charging or varying it twice. S8 and S9 use named additional losses only for the stressed scenario; they do not create new positive channels.</w:t>
      </w:r>
    </w:p>
    <w:p>
      <w:pPr>
        <w:pStyle w:val="Heading2"/>
        <w:keepNext/>
        <w:pageBreakBefore w:val="0"/>
        <w:spacing w:before="160" w:after="80"/>
      </w:pPr>
      <w:r>
        <w:rPr>
          <w:rFonts w:ascii="Liberation Sans" w:hAnsi="Liberation Sans" w:eastAsia="Liberation Sans"/>
          <w:b/>
          <w:i w:val="0"/>
          <w:color w:val="2F75B5"/>
          <w:sz w:val="25"/>
        </w:rPr>
        <w:t>14.3 Dependence stress test</w:t>
      </w:r>
    </w:p>
    <w:p>
      <w:pPr>
        <w:pStyle w:val="BodyText"/>
        <w:keepLines w:val="0"/>
        <w:spacing w:before="0" w:after="100" w:line="259" w:lineRule="auto"/>
      </w:pPr>
      <w:r>
        <w:rPr>
          <w:rFonts w:ascii="Liberation Sans" w:hAnsi="Liberation Sans" w:eastAsia="Liberation Sans"/>
          <w:b w:val="0"/>
          <w:i w:val="0"/>
          <w:sz w:val="20"/>
        </w:rPr>
        <w:t>Suppose three nominal mirrors each have a disclosed 0.10 failure probability, a complete retrieval failure produces a 20-unit missed-window loss, and the reference branch has a +1 premium before availability loss. The numbers are illustrative-only and compare dependence assumptions, not actual repository reliability.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Dependence model</w:t>
            </w:r>
          </w:p>
        </w:tc>
        <w:tc>
          <w:tcPr>
            <w:tcW w:type="dxa" w:w="259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Probability all retrieval paths fail</w:t>
            </w:r>
          </w:p>
        </w:tc>
        <w:tc>
          <w:tcPr>
            <w:tcW w:type="dxa" w:w="237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Expected missed-window loss</w:t>
            </w:r>
          </w:p>
        </w:tc>
        <w:tc>
          <w:tcPr>
            <w:tcW w:type="dxa" w:w="230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Resulting premium</w:t>
            </w:r>
          </w:p>
        </w:tc>
      </w:tr>
      <w:tr>
        <w:tc>
          <w:tcPr>
            <w:tcW w:type="dxa" w:w="25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Independent failures</w:t>
            </w:r>
          </w:p>
        </w:tc>
        <w:tc>
          <w:tcPr>
            <w:tcW w:type="dxa" w:w="25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0.10^3 = 0.001</w:t>
            </w:r>
          </w:p>
        </w:tc>
        <w:tc>
          <w:tcPr>
            <w:tcW w:type="dxa" w:w="237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20 x 0.001 = 0.02</w:t>
            </w:r>
          </w:p>
        </w:tc>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+1 - 0.02 = +0.98</w:t>
            </w:r>
          </w:p>
        </w:tc>
      </w:tr>
      <w:tr>
        <w:tc>
          <w:tcPr>
            <w:tcW w:type="dxa" w:w="25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Perfect common-mode failure</w:t>
            </w:r>
          </w:p>
        </w:tc>
        <w:tc>
          <w:tcPr>
            <w:tcW w:type="dxa" w:w="25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0.10</w:t>
            </w:r>
          </w:p>
        </w:tc>
        <w:tc>
          <w:tcPr>
            <w:tcW w:type="dxa" w:w="237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20 x 0.10 = 2.00</w:t>
            </w:r>
          </w:p>
        </w:tc>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+1 - 2.00 = -1.00</w:t>
            </w:r>
          </w:p>
        </w:tc>
      </w:tr>
    </w:tbl>
    <w:p>
      <w:pPr>
        <w:spacing w:after="20"/>
      </w:pPr>
    </w:p>
    <w:p>
      <w:pPr>
        <w:pStyle w:val="BodyText"/>
        <w:keepLines w:val="0"/>
        <w:spacing w:before="0" w:after="100" w:line="259" w:lineRule="auto"/>
      </w:pPr>
      <w:r>
        <w:rPr>
          <w:rFonts w:ascii="Liberation Sans" w:hAnsi="Liberation Sans" w:eastAsia="Liberation Sans"/>
          <w:b w:val="0"/>
          <w:i w:val="0"/>
          <w:sz w:val="20"/>
        </w:rPr>
        <w:t>Counting three URLs without testing provider, gateway, credential, resolver, metadata, operator, or legal dependence can therefore produce a false robust-positive conclusion. The model must vary plausible joint failure structure rather than factor probabilities by convenience.</w:t>
      </w:r>
    </w:p>
    <w:p>
      <w:pPr>
        <w:pStyle w:val="Heading2"/>
        <w:keepNext/>
        <w:pageBreakBefore w:val="0"/>
        <w:spacing w:before="160" w:after="80"/>
      </w:pPr>
      <w:r>
        <w:rPr>
          <w:rFonts w:ascii="Liberation Sans" w:hAnsi="Liberation Sans" w:eastAsia="Liberation Sans"/>
          <w:b/>
          <w:i w:val="0"/>
          <w:color w:val="2F75B5"/>
          <w:sz w:val="25"/>
        </w:rPr>
        <w:t>14.4 Selection-bias check</w:t>
      </w:r>
    </w:p>
    <w:p>
      <w:pPr>
        <w:pStyle w:val="BodyText"/>
        <w:keepLines w:val="0"/>
        <w:spacing w:before="0" w:after="100" w:line="259" w:lineRule="auto"/>
      </w:pPr>
      <w:r>
        <w:rPr>
          <w:rFonts w:ascii="Liberation Sans" w:hAnsi="Liberation Sans" w:eastAsia="Liberation Sans"/>
          <w:b w:val="0"/>
          <w:i w:val="0"/>
          <w:sz w:val="20"/>
        </w:rPr>
        <w:t>A visible-user-only analysis conditions on reference success after the branch split. The following construction restores the common pre-branch Omega of 100 participants. Eighty can use the reference and have W_ref = 110 versus W_alt = 100. Twenty encounter an access barrier and have W_ref = 40 versus W_alt = 100.</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88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Population used</w:t>
            </w:r>
          </w:p>
        </w:tc>
        <w:tc>
          <w:tcPr>
            <w:tcW w:type="dxa" w:w="302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Average W_ref</w:t>
            </w:r>
          </w:p>
        </w:tc>
        <w:tc>
          <w:tcPr>
            <w:tcW w:type="dxa" w:w="172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Average W_alt</w:t>
            </w:r>
          </w:p>
        </w:tc>
        <w:tc>
          <w:tcPr>
            <w:tcW w:type="dxa" w:w="216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Reported premium</w:t>
            </w:r>
          </w:p>
        </w:tc>
      </w:tr>
      <w:tr>
        <w:tc>
          <w:tcPr>
            <w:tcW w:type="dxa" w:w="288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Visible successful users only (80)</w:t>
            </w:r>
          </w:p>
        </w:tc>
        <w:tc>
          <w:tcPr>
            <w:tcW w:type="dxa" w:w="302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110</w:t>
            </w:r>
          </w:p>
        </w:tc>
        <w:tc>
          <w:tcPr>
            <w:tcW w:type="dxa" w:w="172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100</w:t>
            </w:r>
          </w:p>
        </w:tc>
        <w:tc>
          <w:tcPr>
            <w:tcW w:type="dxa" w:w="216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w:t>
            </w:r>
          </w:p>
        </w:tc>
      </w:tr>
      <w:tr>
        <w:tc>
          <w:tcPr>
            <w:tcW w:type="dxa" w:w="288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Full pre-branch Omega (100)</w:t>
            </w:r>
          </w:p>
        </w:tc>
        <w:tc>
          <w:tcPr>
            <w:tcW w:type="dxa" w:w="302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(80 x 110 + 20 x 40) / 100 = 96</w:t>
            </w:r>
          </w:p>
        </w:tc>
        <w:tc>
          <w:tcPr>
            <w:tcW w:type="dxa" w:w="172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100</w:t>
            </w:r>
          </w:p>
        </w:tc>
        <w:tc>
          <w:tcPr>
            <w:tcW w:type="dxa" w:w="21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-4</w:t>
            </w:r>
          </w:p>
        </w:tc>
      </w:tr>
    </w:tbl>
    <w:p>
      <w:pPr>
        <w:spacing w:after="20"/>
      </w:pPr>
    </w:p>
    <w:p>
      <w:pPr>
        <w:pStyle w:val="BodyText"/>
        <w:keepLines w:val="0"/>
        <w:spacing w:before="0" w:after="100" w:line="259" w:lineRule="auto"/>
      </w:pPr>
      <w:r>
        <w:rPr>
          <w:rFonts w:ascii="Liberation Sans" w:hAnsi="Liberation Sans" w:eastAsia="Liberation Sans"/>
          <w:b w:val="0"/>
          <w:i w:val="0"/>
          <w:sz w:val="20"/>
        </w:rPr>
        <w:t>Dropping inaccessible or unsuccessful participants changes the sign from -4 to +10. Non-use, refusal, language mismatch, format incompatibility, policy blocking, and failed retrieval remain in the reference branch unless the same disclosed selection rule is applied to both branches.</w:t>
      </w:r>
    </w:p>
    <w:p>
      <w:pPr>
        <w:pStyle w:val="Heading2"/>
        <w:keepNext/>
        <w:pageBreakBefore w:val="0"/>
        <w:spacing w:before="160" w:after="80"/>
      </w:pPr>
      <w:r>
        <w:rPr>
          <w:rFonts w:ascii="Liberation Sans" w:hAnsi="Liberation Sans" w:eastAsia="Liberation Sans"/>
          <w:b/>
          <w:i w:val="0"/>
          <w:color w:val="2F75B5"/>
          <w:sz w:val="25"/>
        </w:rPr>
        <w:t>14.5 Private-versus-social comparison</w:t>
      </w:r>
    </w:p>
    <w:p>
      <w:pPr>
        <w:pStyle w:val="BodyText"/>
        <w:keepLines w:val="0"/>
        <w:spacing w:before="0" w:after="100" w:line="259" w:lineRule="auto"/>
      </w:pPr>
      <w:r>
        <w:rPr>
          <w:rFonts w:ascii="Liberation Sans" w:hAnsi="Liberation Sans" w:eastAsia="Liberation Sans"/>
          <w:b w:val="0"/>
          <w:i w:val="0"/>
          <w:sz w:val="20"/>
        </w:rPr>
        <w:t>Assume a sender receives a 12-unit private acceptance benefit from using the reference. The same use imposes eight units of recipient processing and a ten-unit privacy externality on third parties. Equal unit weights are scenario-authorized solely for this illustration; no empirical welfare weights are claimed.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66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Perspective</w:t>
            </w:r>
          </w:p>
        </w:tc>
        <w:tc>
          <w:tcPr>
            <w:tcW w:type="dxa" w:w="316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Reference branch</w:t>
            </w:r>
          </w:p>
        </w:tc>
        <w:tc>
          <w:tcPr>
            <w:tcW w:type="dxa" w:w="194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Alternative branch</w:t>
            </w:r>
          </w:p>
        </w:tc>
        <w:tc>
          <w:tcPr>
            <w:tcW w:type="dxa" w:w="2016"/>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Premium</w:t>
            </w:r>
          </w:p>
        </w:tc>
      </w:tr>
      <w:tr>
        <w:tc>
          <w:tcPr>
            <w:tcW w:type="dxa" w:w="266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Sender private value</w:t>
            </w:r>
          </w:p>
        </w:tc>
        <w:tc>
          <w:tcPr>
            <w:tcW w:type="dxa" w:w="316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112</w:t>
            </w:r>
          </w:p>
        </w:tc>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100</w:t>
            </w:r>
          </w:p>
        </w:tc>
        <w:tc>
          <w:tcPr>
            <w:tcW w:type="dxa" w:w="2016"/>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+12</w:t>
            </w:r>
          </w:p>
        </w:tc>
      </w:tr>
      <w:tr>
        <w:tc>
          <w:tcPr>
            <w:tcW w:type="dxa" w:w="266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Authorized social aggregation</w:t>
            </w:r>
          </w:p>
        </w:tc>
        <w:tc>
          <w:tcPr>
            <w:tcW w:type="dxa" w:w="316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112 - 8 - 10 = 94</w:t>
            </w:r>
          </w:p>
        </w:tc>
        <w:tc>
          <w:tcPr>
            <w:tcW w:type="dxa" w:w="19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100</w:t>
            </w:r>
          </w:p>
        </w:tc>
        <w:tc>
          <w:tcPr>
            <w:tcW w:type="dxa" w:w="2016"/>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-6</w:t>
            </w:r>
          </w:p>
        </w:tc>
      </w:tr>
    </w:tbl>
    <w:p>
      <w:pPr>
        <w:spacing w:after="20"/>
      </w:pPr>
    </w:p>
    <w:p>
      <w:pPr>
        <w:pStyle w:val="BodyText"/>
        <w:keepLines w:val="0"/>
        <w:spacing w:before="0" w:after="100" w:line="259" w:lineRule="auto"/>
      </w:pPr>
      <w:r>
        <w:rPr>
          <w:rFonts w:ascii="Liberation Sans" w:hAnsi="Liberation Sans" w:eastAsia="Liberation Sans"/>
          <w:b w:val="0"/>
          <w:i w:val="0"/>
          <w:sz w:val="20"/>
        </w:rPr>
        <w:t>The sender can rationally prefer citation while the disclosed social aggregation is negative. Private acceptance, institutional prestige, or labor saving is not automatically a social benefit, and transfers must not be counted as new aggregate value without an authorized welfare rule.</w:t>
      </w:r>
    </w:p>
    <w:p>
      <w:pPr>
        <w:pStyle w:val="Heading2"/>
        <w:keepNext/>
        <w:pageBreakBefore w:val="0"/>
        <w:spacing w:before="160" w:after="80"/>
      </w:pPr>
      <w:r>
        <w:rPr>
          <w:rFonts w:ascii="Liberation Sans" w:hAnsi="Liberation Sans" w:eastAsia="Liberation Sans"/>
          <w:b/>
          <w:i w:val="0"/>
          <w:color w:val="2F75B5"/>
          <w:sz w:val="25"/>
        </w:rPr>
        <w:t>14.6 Delivered robustness outputs</w:t>
      </w:r>
    </w:p>
    <w:p>
      <w:pPr>
        <w:pStyle w:val="BodyText"/>
        <w:keepLines w:val="0"/>
        <w:spacing w:before="0" w:after="100" w:line="259" w:lineRule="auto"/>
      </w:pPr>
      <w:r>
        <w:rPr>
          <w:rFonts w:ascii="Liberation Sans" w:hAnsi="Liberation Sans" w:eastAsia="Liberation Sans"/>
          <w:b w:val="0"/>
          <w:i w:val="0"/>
          <w:sz w:val="20"/>
        </w:rPr>
        <w:t>Sections 14.1-14.5 deliver the required threshold table, S1-S10 stress matrix, dependence comparison, selection-bias check, and private-versus-social comparison. Case K supplies a dynamic sign change, Case J supplies strategic separation and collapse, and Case M supplies a non-identification output. These outputs remain illustrative and do not establish population prevalence or empirical parameter ranges.</w:t>
      </w:r>
    </w:p>
    <w:p>
      <w:pPr>
        <w:pStyle w:val="Heading1"/>
        <w:keepNext/>
        <w:pageBreakBefore w:val="0"/>
        <w:spacing w:before="0" w:after="140"/>
      </w:pPr>
      <w:r>
        <w:rPr>
          <w:rFonts w:ascii="Liberation Sans" w:hAnsi="Liberation Sans" w:eastAsia="Liberation Sans"/>
          <w:b/>
          <w:i w:val="0"/>
          <w:color w:val="1F4E78"/>
          <w:sz w:val="31"/>
        </w:rPr>
        <w:t>15. Machine-Readable Representation</w:t>
      </w:r>
    </w:p>
    <w:p>
      <w:pPr>
        <w:pStyle w:val="BodyText"/>
        <w:keepLines w:val="0"/>
        <w:spacing w:before="0" w:after="100" w:line="259" w:lineRule="auto"/>
      </w:pPr>
      <w:r>
        <w:rPr>
          <w:rFonts w:ascii="Liberation Sans" w:hAnsi="Liberation Sans" w:eastAsia="Liberation Sans"/>
          <w:b w:val="0"/>
          <w:i w:val="0"/>
          <w:sz w:val="20"/>
        </w:rPr>
        <w:t>The companion Parameter Record JSON Schema Draft v0.1.1 records symbols, definitions, scenario indexes, structural roles, accounting addresses, identification labels, quantification, calibration, dependencies, applicability conditions, machine checkability, sensitivity families, disclosures, and unresolved status. Schema validity means only that the record satisfies the declared structure. It does not establish that the value is true, the source supports the claim, the reviewer is authorized, the parameter is calibrated, or the premium is positive.</w:t>
      </w:r>
    </w:p>
    <w:p>
      <w:pPr>
        <w:pStyle w:val="Heading2"/>
        <w:keepNext/>
        <w:pageBreakBefore w:val="0"/>
        <w:spacing w:before="160" w:after="80"/>
      </w:pPr>
      <w:r>
        <w:rPr>
          <w:rFonts w:ascii="Liberation Sans" w:hAnsi="Liberation Sans" w:eastAsia="Liberation Sans"/>
          <w:b/>
          <w:i w:val="0"/>
          <w:color w:val="2F75B5"/>
          <w:sz w:val="25"/>
        </w:rPr>
        <w:t>15.1 Required record fields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Field group</w:t>
            </w:r>
          </w:p>
        </w:tc>
        <w:tc>
          <w:tcPr>
            <w:tcW w:type="dxa" w:w="784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Purpose</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Identity</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record_version, symbol, stream_origin, definition, source_location</w:t>
            </w:r>
          </w:p>
        </w:tc>
      </w:tr>
      <w:tr>
        <w:tc>
          <w:tcPr>
            <w:tcW w:type="dxa" w:w="19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Indexing</w:t>
            </w:r>
          </w:p>
        </w:tc>
        <w:tc>
          <w:tcPr>
            <w:tcW w:type="dxa" w:w="78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scenario, branch, participant, recipient set, path, and time</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Structure</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structural_role and one terminal or derived-routing accounting address</w:t>
            </w:r>
          </w:p>
        </w:tc>
      </w:tr>
      <w:tr>
        <w:tc>
          <w:tcPr>
            <w:tcW w:type="dxa" w:w="19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Evidence</w:t>
            </w:r>
          </w:p>
        </w:tc>
        <w:tc>
          <w:tcPr>
            <w:tcW w:type="dxa" w:w="78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I1-I11 identification labels and machine-checkability</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Quantity</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Q1-Q7 form, value or explicit null, and C1-C9 calibration basis</w:t>
            </w:r>
          </w:p>
        </w:tc>
      </w:tr>
      <w:tr>
        <w:tc>
          <w:tcPr>
            <w:tcW w:type="dxa" w:w="19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Dependencies</w:t>
            </w:r>
          </w:p>
        </w:tc>
        <w:tc>
          <w:tcPr>
            <w:tcW w:type="dxa" w:w="78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Targets, models, priors, registries, keys, reviewers, authorities, and independence assumptions</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Applicability</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general, scenario-specific, or equation-8a-only - the legacy schema label corresponding to Equation 18 in this paper - with all four special-case conditions</w:t>
            </w:r>
          </w:p>
        </w:tc>
      </w:tr>
      <w:tr>
        <w:tc>
          <w:tcPr>
            <w:tcW w:type="dxa" w:w="194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Uncertainty</w:t>
            </w:r>
          </w:p>
        </w:tc>
        <w:tc>
          <w:tcPr>
            <w:tcW w:type="dxa" w:w="784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Sensitivity families, disclosure note, prohibited inference, unresolved flag and reason</w:t>
            </w:r>
          </w:p>
        </w:tc>
      </w:tr>
      <w:tr>
        <w:tc>
          <w:tcPr>
            <w:tcW w:type="dxa" w:w="194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Governance</w:t>
            </w:r>
          </w:p>
        </w:tc>
        <w:tc>
          <w:tcPr>
            <w:tcW w:type="dxa" w:w="784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Illustrative-only flag and optional review status</w:t>
            </w:r>
          </w:p>
        </w:tc>
      </w:tr>
    </w:tbl>
    <w:p>
      <w:pPr>
        <w:spacing w:after="20"/>
      </w:pPr>
    </w:p>
    <w:p>
      <w:pPr>
        <w:pStyle w:val="Heading2"/>
        <w:keepNext/>
        <w:pageBreakBefore w:val="0"/>
        <w:spacing w:before="160" w:after="80"/>
      </w:pPr>
      <w:r>
        <w:rPr>
          <w:rFonts w:ascii="Liberation Sans" w:hAnsi="Liberation Sans" w:eastAsia="Liberation Sans"/>
          <w:b/>
          <w:i w:val="0"/>
          <w:color w:val="2F75B5"/>
          <w:sz w:val="25"/>
        </w:rPr>
        <w:t>15.2 Concrete routing-only example</w:t>
      </w:r>
    </w:p>
    <w:tbl>
      <w:tblPr>
        <w:tblW w:type="auto" w:w="0"/>
        <w:tblLook w:firstColumn="1" w:firstRow="1" w:lastColumn="0" w:lastRow="0" w:noHBand="0" w:noVBand="1" w:val="04A0"/>
      </w:tblPr>
      <w:tblGrid>
        <w:gridCol w:w="10166"/>
      </w:tblGrid>
      <w:tr>
        <w:tc>
          <w:tcPr>
            <w:tcW w:type="dxa" w:w="10166"/>
            <w:shd w:fill="F4F4F4"/>
            <w:tcMar>
              <w:top w:w="100" w:type="dxa"/>
              <w:start w:w="120" w:type="dxa"/>
              <w:bottom w:w="100" w:type="dxa"/>
              <w:end w:w="120" w:type="dxa"/>
            </w:tcMar>
            <w:tcBorders>
              <w:top w:sz="4" w:val="single" w:color="A6A6A6"/>
              <w:left w:sz="4" w:val="single" w:color="A6A6A6"/>
              <w:bottom w:sz="4" w:val="single" w:color="A6A6A6"/>
              <w:right w:sz="4" w:val="single" w:color="A6A6A6"/>
            </w:tcBorders>
          </w:tcPr>
          <w:p>
            <w:pPr>
              <w:keepLines w:val="0"/>
              <w:spacing w:before="0" w:after="0" w:line="240" w:lineRule="auto"/>
            </w:pPr>
            <w:r>
              <w:rPr>
                <w:rFonts w:ascii="DejaVu Sans Mono" w:hAnsi="DejaVu Sans Mono"/>
                <w:b w:val="0"/>
                <w:i w:val="0"/>
                <w:sz w:val="14"/>
              </w:rPr>
              <w:t>{</w:t>
              <w:br/>
              <w:t xml:space="preserve">  "record_version": "draft-v0.1.1",</w:t>
              <w:br/>
              <w:t xml:space="preserve">  "symbol": "C_delay,Gamma",</w:t>
              <w:br/>
              <w:t xml:space="preserve">  "stream_origin": "communication",</w:t>
              <w:br/>
              <w:t xml:space="preserve">  "definition": "Routing-only label for a concrete delay consequence in Case L; selected destination is C_fail because the modeled effect is a missed decision window.",</w:t>
              <w:br/>
              <w:t xml:space="preserve">  "scenario_index": {</w:t>
              <w:br/>
              <w:t xml:space="preserve">    "scenario": "Gamma_L",</w:t>
              <w:br/>
              <w:t xml:space="preserve">    "branch": "ref",</w:t>
              <w:br/>
              <w:t xml:space="preserve">    "participant": null,</w:t>
              <w:br/>
              <w:t xml:space="preserve">    "recipient_set": "J_L",</w:t>
              <w:br/>
              <w:t xml:space="preserve">    "path": "retrieval-failure",</w:t>
              <w:br/>
              <w:t xml:space="preserve">    "time": "decision-window"</w:t>
              <w:br/>
              <w:t xml:space="preserve">  },</w:t>
              <w:br/>
              <w:t xml:space="preserve">  "structural_role": "routing-only",</w:t>
              <w:br/>
              <w:t xml:space="preserve">  "accounting_address": {</w:t>
              <w:br/>
              <w:t xml:space="preserve">    "status": "derived-routing-only",</w:t>
              <w:br/>
              <w:t xml:space="preserve">    "permitted_destinations": [</w:t>
              <w:br/>
              <w:t xml:space="preserve">      "K_comp",</w:t>
              <w:br/>
              <w:t xml:space="preserve">      "C_proc",</w:t>
              <w:br/>
              <w:t xml:space="preserve">      "C_fail",</w:t>
              <w:br/>
              <w:t xml:space="preserve">      "named-externality"</w:t>
              <w:br/>
              <w:t xml:space="preserve">    ],</w:t>
              <w:br/>
              <w:t xml:space="preserve">    "selected_destination": "C_fail",</w:t>
              <w:br/>
              <w:t xml:space="preserve">    "one_charge_note": "The 20-unit missed-window consequence is charged once to C_fail and is not also charged to C_delay, K_comp, or C_proc."</w:t>
              <w:br/>
              <w:t xml:space="preserve">  },</w:t>
              <w:br/>
              <w:t xml:space="preserve">  "identification_status": [</w:t>
              <w:br/>
              <w:t xml:space="preserve">    "I9-scenario-fixed"</w:t>
              <w:br/>
              <w:t xml:space="preserve">  ],</w:t>
              <w:br/>
              <w:t xml:space="preserve">  "status_labels": [</w:t>
              <w:br/>
              <w:t xml:space="preserve">    "scenario-assumed",</w:t>
              <w:br/>
              <w:t xml:space="preserve">    "illustrative-only"</w:t>
              <w:br/>
              <w:t xml:space="preserve">  ],</w:t>
              <w:br/>
              <w:t xml:space="preserve">  "quantification_form": "Q5-scenario-valued",</w:t>
              <w:br/>
              <w:t xml:space="preserve">  "calibration_basis": "C8-illustrative-unit",</w:t>
              <w:br/>
              <w:t xml:space="preserve">  "value_or_bounds": 20,</w:t>
              <w:br/>
              <w:t xml:space="preserve">  "dependencies": [</w:t>
              <w:br/>
              <w:t xml:space="preserve">    "Case L timing rule",</w:t>
              <w:br/>
              <w:t xml:space="preserve">    "retrieval-failure path",</w:t>
              <w:br/>
              <w:t xml:space="preserve">    "one-charge reconciliation"</w:t>
              <w:br/>
              <w:t xml:space="preserve">  ],</w:t>
              <w:br/>
              <w:t xml:space="preserve">  "conditional_applicability": {</w:t>
              <w:br/>
              <w:t xml:space="preserve">    "scope": "scenario-specific",</w:t>
              <w:br/>
              <w:t xml:space="preserve">    "conditions": [</w:t>
              <w:br/>
              <w:t xml:space="preserve">      "missed-window consequence is the selected delay effect"</w:t>
              <w:br/>
              <w:t xml:space="preserve">    ]</w:t>
              <w:br/>
              <w:t xml:space="preserve">  },</w:t>
              <w:br/>
              <w:t xml:space="preserve">  "routing_destinations": [</w:t>
              <w:br/>
              <w:t xml:space="preserve">    "C_fail"</w:t>
              <w:br/>
              <w:t xml:space="preserve">  ],</w:t>
              <w:br/>
              <w:t xml:space="preserve">  "machine_checkability": "partial",</w:t>
              <w:br/>
              <w:t xml:space="preserve">  "sensitivity_family": [</w:t>
              <w:br/>
              <w:t xml:space="preserve">    "S5",</w:t>
              <w:br/>
              <w:t xml:space="preserve">    "S6"</w:t>
              <w:br/>
              <w:t xml:space="preserve">  ],</w:t>
              <w:br/>
              <w:t xml:space="preserve">  "disclosure_note": "Illustrative-only. The record is classified under S5 process/failure burden and S6 durability/dependence. A concrete application must measure or bound the delay consequence and must use a non-null selected_destination.",</w:t>
              <w:br/>
              <w:t xml:space="preserve">  "prohibited_inference": [</w:t>
              <w:br/>
              <w:t xml:space="preserve">    "Delay is not automatically task failure",</w:t>
              <w:br/>
              <w:t xml:space="preserve">    "Schema validity does not establish empirical calibration"</w:t>
              <w:br/>
              <w:t xml:space="preserve">  ],</w:t>
              <w:br/>
              <w:t xml:space="preserve">  "source_location": [</w:t>
              <w:br/>
              <w:t xml:space="preserve">    "Draft v0.1.2b Section 13 Case L",</w:t>
              <w:br/>
              <w:t xml:space="preserve">    "Integration Package v0.1.1 Rule 16"</w:t>
              <w:br/>
              <w:t xml:space="preserve">  ],</w:t>
              <w:br/>
              <w:t xml:space="preserve">  "illustrative_only": true,</w:t>
              <w:br/>
              <w:t xml:space="preserve">  "unresolved": {</w:t>
              <w:br/>
              <w:t xml:space="preserve">    "status": true,</w:t>
              <w:br/>
              <w:t xml:space="preserve">    "reason": "No empirical calibration for the 20-unit missed-window loss."</w:t>
              <w:br/>
              <w:t xml:space="preserve">  },</w:t>
              <w:br/>
              <w:t xml:space="preserve">  "review_status": {</w:t>
              <w:br/>
              <w:t xml:space="preserve">    "human_authority": "Thomas Vargo",</w:t>
              <w:br/>
              <w:t xml:space="preserve">    "ai_assisted_review": [],</w:t>
              <w:br/>
              <w:t xml:space="preserve">    "external_peer_review": false</w:t>
              <w:br/>
              <w:t xml:space="preserve">  }</w:t>
              <w:br/>
              <w:t>}</w:t>
            </w:r>
          </w:p>
        </w:tc>
      </w:tr>
    </w:tbl>
    <w:p>
      <w:pPr>
        <w:spacing w:after="0"/>
      </w:pPr>
    </w:p>
    <w:p>
      <w:pPr>
        <w:pStyle w:val="BodyText"/>
        <w:keepLines w:val="0"/>
        <w:spacing w:before="0" w:after="100" w:line="259" w:lineRule="auto"/>
      </w:pPr>
      <w:r>
        <w:rPr>
          <w:rFonts w:ascii="Liberation Sans" w:hAnsi="Liberation Sans" w:eastAsia="Liberation Sans"/>
          <w:b w:val="0"/>
          <w:i w:val="0"/>
          <w:sz w:val="20"/>
        </w:rPr>
        <w:t>The reusable schema permits selected_destination = null for a template. A concrete application record, including the example above, must select a non-null destination. This is an application rule enforced when a concrete record is created.</w:t>
      </w:r>
    </w:p>
    <w:p>
      <w:pPr>
        <w:pStyle w:val="Heading2"/>
        <w:keepNext/>
        <w:pageBreakBefore w:val="0"/>
        <w:spacing w:before="160" w:after="80"/>
      </w:pPr>
      <w:r>
        <w:rPr>
          <w:rFonts w:ascii="Liberation Sans" w:hAnsi="Liberation Sans" w:eastAsia="Liberation Sans"/>
          <w:b/>
          <w:i w:val="0"/>
          <w:color w:val="2F75B5"/>
          <w:sz w:val="25"/>
        </w:rPr>
        <w:t>15.3 Machine-readable status vocabulary</w:t>
      </w:r>
    </w:p>
    <w:p>
      <w:pPr>
        <w:pStyle w:val="BodyText"/>
        <w:keepLines w:val="0"/>
        <w:spacing w:before="0" w:after="100" w:line="259" w:lineRule="auto"/>
      </w:pPr>
      <w:r>
        <w:rPr>
          <w:rFonts w:ascii="Liberation Sans" w:hAnsi="Liberation Sans" w:eastAsia="Liberation Sans"/>
          <w:b w:val="0"/>
          <w:i w:val="0"/>
          <w:sz w:val="20"/>
        </w:rPr>
        <w:t>Permitted labels include observed, machine-reproducible, dependency-verifiable, historically estimated, model-estimated, self-reported, judgment-dependent, normative-authorized, scenario-assumed, interval-bounded, unidentified, and illustrative-only. These labels describe evidence and modeling status; they are not credibility scores.</w:t>
      </w:r>
    </w:p>
    <w:p>
      <w:pPr>
        <w:pStyle w:val="Heading1"/>
        <w:keepNext/>
        <w:pageBreakBefore w:val="0"/>
        <w:spacing w:before="0" w:after="140"/>
      </w:pPr>
      <w:r>
        <w:rPr>
          <w:rFonts w:ascii="Liberation Sans" w:hAnsi="Liberation Sans" w:eastAsia="Liberation Sans"/>
          <w:b/>
          <w:i w:val="0"/>
          <w:color w:val="1F4E78"/>
          <w:sz w:val="31"/>
        </w:rPr>
        <w:t>16. Counterexamples and Failure Boundaries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7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Boundary</w:t>
            </w:r>
          </w:p>
        </w:tc>
        <w:tc>
          <w:tcPr>
            <w:tcW w:type="dxa" w:w="792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7"/>
              </w:rPr>
              <w:t>Failure of the shortcut</w:t>
            </w:r>
          </w:p>
        </w:tc>
      </w:tr>
      <w:tr>
        <w:tc>
          <w:tcPr>
            <w:tcW w:type="dxa" w:w="187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Finite depth</w:t>
            </w:r>
          </w:p>
        </w:tc>
        <w:tc>
          <w:tcPr>
            <w:tcW w:type="dxa" w:w="79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Arbitrarily long finite belief hierarchies can remain behaviorally different from common knowledge in discontinuous strategic tasks.</w:t>
            </w:r>
          </w:p>
        </w:tc>
      </w:tr>
      <w:tr>
        <w:tc>
          <w:tcPr>
            <w:tcW w:type="dxa" w:w="187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Short pointer</w:t>
            </w:r>
          </w:p>
        </w:tc>
        <w:tc>
          <w:tcPr>
            <w:tcW w:type="dxa" w:w="79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A compact identifier can save sender traffic while total value is negative because recipient processing or fallback dominates.</w:t>
            </w:r>
          </w:p>
        </w:tc>
      </w:tr>
      <w:tr>
        <w:tc>
          <w:tcPr>
            <w:tcW w:type="dxa" w:w="187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Valid hash</w:t>
            </w:r>
          </w:p>
        </w:tc>
        <w:tc>
          <w:tcPr>
            <w:tcW w:type="dxa" w:w="79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A target digest can remain correct while every copy is unavailable.</w:t>
            </w:r>
          </w:p>
        </w:tc>
      </w:tr>
      <w:tr>
        <w:tc>
          <w:tcPr>
            <w:tcW w:type="dxa" w:w="187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Live URL</w:t>
            </w:r>
          </w:p>
        </w:tc>
        <w:tc>
          <w:tcPr>
            <w:tcW w:type="dxa" w:w="79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Reachability can persist while content drifts from the cited state.</w:t>
            </w:r>
          </w:p>
        </w:tc>
      </w:tr>
      <w:tr>
        <w:tc>
          <w:tcPr>
            <w:tcW w:type="dxa" w:w="187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Many mirrors</w:t>
            </w:r>
          </w:p>
        </w:tc>
        <w:tc>
          <w:tcPr>
            <w:tcW w:type="dxa" w:w="79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Nominal endpoints can share one gateway, provider, credential, operator, or metadata dependency.</w:t>
            </w:r>
          </w:p>
        </w:tc>
      </w:tr>
      <w:tr>
        <w:tc>
          <w:tcPr>
            <w:tcW w:type="dxa" w:w="187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Valid signature</w:t>
            </w:r>
          </w:p>
        </w:tc>
        <w:tc>
          <w:tcPr>
            <w:tcW w:type="dxa" w:w="79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Issuance integrity can coexist with a false verification or authorization field.</w:t>
            </w:r>
          </w:p>
        </w:tc>
      </w:tr>
      <w:tr>
        <w:tc>
          <w:tcPr>
            <w:tcW w:type="dxa" w:w="187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Authentic source</w:t>
            </w:r>
          </w:p>
        </w:tc>
        <w:tc>
          <w:tcPr>
            <w:tcW w:type="dxa" w:w="79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The artifact can be genuine while the attributed proposition is unsupported.</w:t>
            </w:r>
          </w:p>
        </w:tc>
      </w:tr>
      <w:tr>
        <w:tc>
          <w:tcPr>
            <w:tcW w:type="dxa" w:w="187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Costly signal</w:t>
            </w:r>
          </w:p>
        </w:tc>
        <w:tc>
          <w:tcPr>
            <w:tcW w:type="dxa" w:w="79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Expense can be imitated or become cheap enough for low-quality types, collapsing separation.</w:t>
            </w:r>
          </w:p>
        </w:tc>
      </w:tr>
      <w:tr>
        <w:tc>
          <w:tcPr>
            <w:tcW w:type="dxa" w:w="187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More information</w:t>
            </w:r>
          </w:p>
        </w:tc>
        <w:tc>
          <w:tcPr>
            <w:tcW w:type="dxa" w:w="79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Gross optional value can be positive while net or social value is negative.</w:t>
            </w:r>
          </w:p>
        </w:tc>
      </w:tr>
      <w:tr>
        <w:tc>
          <w:tcPr>
            <w:tcW w:type="dxa" w:w="187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7"/>
              </w:rPr>
              <w:t>Positive point estimate</w:t>
            </w:r>
          </w:p>
        </w:tc>
        <w:tc>
          <w:tcPr>
            <w:tcW w:type="dxa" w:w="79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7"/>
              </w:rPr>
              <w:t>Uncertainty or dependence can cross zero, requiring sign indeterminacy.</w:t>
            </w:r>
          </w:p>
        </w:tc>
      </w:tr>
    </w:tbl>
    <w:p>
      <w:pPr>
        <w:spacing w:after="20"/>
      </w:pPr>
    </w:p>
    <w:p>
      <w:pPr>
        <w:pStyle w:val="Heading2"/>
        <w:keepNext/>
        <w:pageBreakBefore w:val="0"/>
        <w:spacing w:before="160" w:after="80"/>
      </w:pPr>
      <w:r>
        <w:rPr>
          <w:rFonts w:ascii="Liberation Sans" w:hAnsi="Liberation Sans" w:eastAsia="Liberation Sans"/>
          <w:b/>
          <w:i w:val="0"/>
          <w:color w:val="2F75B5"/>
          <w:sz w:val="25"/>
        </w:rPr>
        <w:t>16.1 Non-authority failure boundary</w:t>
      </w:r>
    </w:p>
    <w:p>
      <w:pPr>
        <w:pStyle w:val="BodyText"/>
        <w:keepLines w:val="0"/>
        <w:spacing w:before="0" w:after="100" w:line="259" w:lineRule="auto"/>
      </w:pPr>
      <w:r>
        <w:rPr>
          <w:rFonts w:ascii="Liberation Sans" w:hAnsi="Liberation Sans" w:eastAsia="Liberation Sans"/>
          <w:b w:val="0"/>
          <w:i w:val="0"/>
          <w:sz w:val="20"/>
        </w:rPr>
        <w:t>Even a robustly positive premium under a well-specified scenario establishes only a comparative expected-value result for that scenario. It does not create a duty to cite, a presumption of archive importance, a right of access, a command to act, a certification of safety, an alignment claim, or immunity from independent review and governance.</w:t>
      </w:r>
    </w:p>
    <w:p>
      <w:pPr>
        <w:pStyle w:val="Heading2"/>
        <w:keepNext/>
        <w:pageBreakBefore w:val="0"/>
        <w:spacing w:before="160" w:after="80"/>
      </w:pPr>
      <w:r>
        <w:rPr>
          <w:rFonts w:ascii="Liberation Sans" w:hAnsi="Liberation Sans" w:eastAsia="Liberation Sans"/>
          <w:b/>
          <w:i w:val="0"/>
          <w:color w:val="2F75B5"/>
          <w:sz w:val="25"/>
        </w:rPr>
        <w:t>16.2 Reception boundary</w:t>
      </w:r>
    </w:p>
    <w:p>
      <w:pPr>
        <w:pStyle w:val="BodyText"/>
        <w:keepLines w:val="0"/>
        <w:spacing w:before="0" w:after="100" w:line="259" w:lineRule="auto"/>
      </w:pPr>
      <w:r>
        <w:rPr>
          <w:rFonts w:ascii="Liberation Sans" w:hAnsi="Liberation Sans" w:eastAsia="Liberation Sans"/>
          <w:b w:val="0"/>
          <w:i w:val="0"/>
          <w:sz w:val="20"/>
        </w:rPr>
        <w:t>A preserved, indexed, and machine-readable signal can remain unread, misunderstood, rejected, inaccessible, or irrelevant. The framework evaluates a branch in which a reference is encountered and processed under stated conditions; it does not guarantee discovery, reception, internalization, agreement, or future use.</w:t>
      </w:r>
    </w:p>
    <w:p>
      <w:pPr>
        <w:pStyle w:val="Heading1"/>
        <w:keepNext/>
        <w:pageBreakBefore w:val="0"/>
        <w:spacing w:before="0" w:after="140"/>
      </w:pPr>
      <w:r>
        <w:rPr>
          <w:rFonts w:ascii="Liberation Sans" w:hAnsi="Liberation Sans" w:eastAsia="Liberation Sans"/>
          <w:b/>
          <w:i w:val="0"/>
          <w:color w:val="1F4E78"/>
          <w:sz w:val="31"/>
        </w:rPr>
        <w:t>17. Limitations and Research Agenda</w:t>
      </w:r>
    </w:p>
    <w:p>
      <w:pPr>
        <w:pStyle w:val="ListBullet"/>
        <w:keepLines w:val="0"/>
        <w:spacing w:before="0" w:after="80" w:line="252" w:lineRule="auto"/>
        <w:ind w:left="317" w:hanging="173"/>
      </w:pPr>
      <w:r>
        <w:rPr>
          <w:rFonts w:ascii="Liberation Sans" w:hAnsi="Liberation Sans" w:eastAsia="Liberation Sans"/>
          <w:b w:val="0"/>
          <w:i w:val="0"/>
          <w:sz w:val="20"/>
        </w:rPr>
        <w:t>The framework is structurally integrated but not empirically calibrated to any population of human or artificial decision makers.</w:t>
      </w:r>
    </w:p>
    <w:p>
      <w:pPr>
        <w:pStyle w:val="ListBullet"/>
        <w:keepLines w:val="0"/>
        <w:spacing w:before="0" w:after="80" w:line="252" w:lineRule="auto"/>
        <w:ind w:left="317" w:hanging="173"/>
      </w:pPr>
      <w:r>
        <w:rPr>
          <w:rFonts w:ascii="Liberation Sans" w:hAnsi="Liberation Sans" w:eastAsia="Liberation Sans"/>
          <w:b w:val="0"/>
          <w:i w:val="0"/>
          <w:sz w:val="20"/>
        </w:rPr>
        <w:t>Internal beliefs, true mutual depth, hidden evidence, private priors, strategic motives, and distant survival probabilities are often partially identified or unidentified.</w:t>
      </w:r>
    </w:p>
    <w:p>
      <w:pPr>
        <w:pStyle w:val="ListBullet"/>
        <w:keepLines w:val="0"/>
        <w:spacing w:before="0" w:after="80" w:line="252" w:lineRule="auto"/>
        <w:ind w:left="317" w:hanging="173"/>
      </w:pPr>
      <w:r>
        <w:rPr>
          <w:rFonts w:ascii="Liberation Sans" w:hAnsi="Liberation Sans" w:eastAsia="Liberation Sans"/>
          <w:b w:val="0"/>
          <w:i w:val="0"/>
          <w:sz w:val="20"/>
        </w:rPr>
        <w:t>Many worked-case inputs are illustrative units. They demonstrate accounting and sign reversal, not prevalence or typical magnitude.</w:t>
      </w:r>
    </w:p>
    <w:p>
      <w:pPr>
        <w:pStyle w:val="ListBullet"/>
        <w:keepLines w:val="0"/>
        <w:spacing w:before="0" w:after="80" w:line="252" w:lineRule="auto"/>
        <w:ind w:left="317" w:hanging="173"/>
      </w:pPr>
      <w:r>
        <w:rPr>
          <w:rFonts w:ascii="Liberation Sans" w:hAnsi="Liberation Sans" w:eastAsia="Liberation Sans"/>
          <w:b w:val="0"/>
          <w:i w:val="0"/>
          <w:sz w:val="20"/>
        </w:rPr>
        <w:t>The source packet is bounded. Some claims were deliberately limited to abstracts or verified excerpts, especially Howard, Yao, and Kartik.</w:t>
      </w:r>
    </w:p>
    <w:p>
      <w:pPr>
        <w:pStyle w:val="ListBullet"/>
        <w:keepLines w:val="0"/>
        <w:spacing w:before="0" w:after="80" w:line="252" w:lineRule="auto"/>
        <w:ind w:left="317" w:hanging="173"/>
      </w:pPr>
      <w:r>
        <w:rPr>
          <w:rFonts w:ascii="Liberation Sans" w:hAnsi="Liberation Sans" w:eastAsia="Liberation Sans"/>
          <w:b w:val="0"/>
          <w:i w:val="0"/>
          <w:sz w:val="20"/>
        </w:rPr>
        <w:t>The model does not prove that the four-channel decomposition is uniquely optimal. It is a disciplined project architecture designed to avoid overlap and hidden costs.</w:t>
      </w:r>
    </w:p>
    <w:p>
      <w:pPr>
        <w:pStyle w:val="ListBullet"/>
        <w:keepLines w:val="0"/>
        <w:spacing w:before="0" w:after="80" w:line="252" w:lineRule="auto"/>
        <w:ind w:left="317" w:hanging="173"/>
      </w:pPr>
      <w:r>
        <w:rPr>
          <w:rFonts w:ascii="Liberation Sans" w:hAnsi="Liberation Sans" w:eastAsia="Liberation Sans"/>
          <w:b w:val="0"/>
          <w:i w:val="0"/>
          <w:sz w:val="20"/>
        </w:rPr>
        <w:t>Semantic claim support and authority laundering remain judgment-dependent and contestable even when artifact identity is machine-verifiable.</w:t>
      </w:r>
    </w:p>
    <w:p>
      <w:pPr>
        <w:pStyle w:val="ListBullet"/>
        <w:keepLines w:val="0"/>
        <w:spacing w:before="0" w:after="80" w:line="252" w:lineRule="auto"/>
        <w:ind w:left="317" w:hanging="173"/>
      </w:pPr>
      <w:r>
        <w:rPr>
          <w:rFonts w:ascii="Liberation Sans" w:hAnsi="Liberation Sans" w:eastAsia="Liberation Sans"/>
          <w:b w:val="0"/>
          <w:i w:val="0"/>
          <w:sz w:val="20"/>
        </w:rPr>
        <w:t>Dynamic applications require system-specific data on maintenance, correlated failure, migration, access, and preservation labor.</w:t>
      </w:r>
    </w:p>
    <w:p>
      <w:pPr>
        <w:pStyle w:val="ListBullet"/>
        <w:keepLines w:val="0"/>
        <w:spacing w:before="0" w:after="80" w:line="252" w:lineRule="auto"/>
        <w:ind w:left="317" w:hanging="173"/>
      </w:pPr>
      <w:r>
        <w:rPr>
          <w:rFonts w:ascii="Liberation Sans" w:hAnsi="Liberation Sans" w:eastAsia="Liberation Sans"/>
          <w:b w:val="0"/>
          <w:i w:val="0"/>
          <w:sz w:val="20"/>
        </w:rPr>
        <w:t>Strategic applications require explicit sender and receiver incentives, not generic assumptions about honesty or deception.</w:t>
      </w:r>
    </w:p>
    <w:p>
      <w:pPr>
        <w:pStyle w:val="ListBullet"/>
        <w:keepLines w:val="0"/>
        <w:spacing w:before="0" w:after="80" w:line="252" w:lineRule="auto"/>
        <w:ind w:left="317" w:hanging="173"/>
      </w:pPr>
      <w:r>
        <w:rPr>
          <w:rFonts w:ascii="Liberation Sans" w:hAnsi="Liberation Sans" w:eastAsia="Liberation Sans"/>
          <w:b w:val="0"/>
          <w:i w:val="0"/>
          <w:sz w:val="20"/>
        </w:rPr>
        <w:t>Social value requires authorized welfare weights and complete affected-party scope; the paper supplies no universal weights.</w:t>
      </w:r>
    </w:p>
    <w:p>
      <w:pPr>
        <w:pStyle w:val="ListBullet"/>
        <w:keepLines w:val="0"/>
        <w:spacing w:before="0" w:after="80" w:line="252" w:lineRule="auto"/>
        <w:ind w:left="317" w:hanging="173"/>
      </w:pPr>
      <w:r>
        <w:rPr>
          <w:rFonts w:ascii="Liberation Sans" w:hAnsi="Liberation Sans" w:eastAsia="Liberation Sans"/>
          <w:b w:val="0"/>
          <w:i w:val="0"/>
          <w:sz w:val="20"/>
        </w:rPr>
        <w:t>External human peer review, independent reproduction, and empirical testing remain future work.</w:t>
      </w:r>
    </w:p>
    <w:p>
      <w:pPr>
        <w:pStyle w:val="Heading2"/>
        <w:keepNext/>
        <w:pageBreakBefore w:val="0"/>
        <w:spacing w:before="160" w:after="80"/>
      </w:pPr>
      <w:r>
        <w:rPr>
          <w:rFonts w:ascii="Liberation Sans" w:hAnsi="Liberation Sans" w:eastAsia="Liberation Sans"/>
          <w:b/>
          <w:i w:val="0"/>
          <w:color w:val="2F75B5"/>
          <w:sz w:val="25"/>
        </w:rPr>
        <w:t>17.1 Research agenda</w:t>
      </w:r>
    </w:p>
    <w:p>
      <w:pPr>
        <w:pStyle w:val="BodyText"/>
        <w:keepLines w:val="0"/>
        <w:spacing w:before="0" w:after="60" w:line="252" w:lineRule="auto"/>
        <w:ind w:left="360" w:hanging="360"/>
      </w:pPr>
      <w:r>
        <w:rPr>
          <w:rFonts w:ascii="Liberation Sans" w:hAnsi="Liberation Sans" w:eastAsia="Liberation Sans"/>
          <w:b/>
          <w:i w:val="0"/>
          <w:sz w:val="20"/>
        </w:rPr>
        <w:t xml:space="preserve">1. </w:t>
      </w:r>
      <w:r>
        <w:rPr>
          <w:rFonts w:ascii="Liberation Sans" w:hAnsi="Liberation Sans" w:eastAsia="Liberation Sans"/>
          <w:b w:val="0"/>
          <w:i w:val="0"/>
          <w:sz w:val="20"/>
        </w:rPr>
        <w:t>Build system-specific parameter records using the companion schema and test them against real retrieval, verification, and interpretation logs.</w:t>
      </w:r>
    </w:p>
    <w:p>
      <w:pPr>
        <w:pStyle w:val="BodyText"/>
        <w:keepLines w:val="0"/>
        <w:spacing w:before="0" w:after="60" w:line="252" w:lineRule="auto"/>
        <w:ind w:left="360" w:hanging="360"/>
      </w:pPr>
      <w:r>
        <w:rPr>
          <w:rFonts w:ascii="Liberation Sans" w:hAnsi="Liberation Sans" w:eastAsia="Liberation Sans"/>
          <w:b/>
          <w:i w:val="0"/>
          <w:sz w:val="20"/>
        </w:rPr>
        <w:t xml:space="preserve">2. </w:t>
      </w:r>
      <w:r>
        <w:rPr>
          <w:rFonts w:ascii="Liberation Sans" w:hAnsi="Liberation Sans" w:eastAsia="Liberation Sans"/>
          <w:b w:val="0"/>
          <w:i w:val="0"/>
          <w:sz w:val="20"/>
        </w:rPr>
        <w:t>Estimate dependence-aware durability models across heterogeneous archives and gateways, with explicit historical-transfer limits.</w:t>
      </w:r>
    </w:p>
    <w:p>
      <w:pPr>
        <w:pStyle w:val="BodyText"/>
        <w:keepLines w:val="0"/>
        <w:spacing w:before="0" w:after="60" w:line="252" w:lineRule="auto"/>
        <w:ind w:left="360" w:hanging="360"/>
      </w:pPr>
      <w:r>
        <w:rPr>
          <w:rFonts w:ascii="Liberation Sans" w:hAnsi="Liberation Sans" w:eastAsia="Liberation Sans"/>
          <w:b/>
          <w:i w:val="0"/>
          <w:sz w:val="20"/>
        </w:rPr>
        <w:t xml:space="preserve">3. </w:t>
      </w:r>
      <w:r>
        <w:rPr>
          <w:rFonts w:ascii="Liberation Sans" w:hAnsi="Liberation Sans" w:eastAsia="Liberation Sans"/>
          <w:b w:val="0"/>
          <w:i w:val="0"/>
          <w:sz w:val="20"/>
        </w:rPr>
        <w:t>Study recipient-specific processing costs and side-information quality rather than inferring them from pointer length or training exposure.</w:t>
      </w:r>
    </w:p>
    <w:p>
      <w:pPr>
        <w:pStyle w:val="BodyText"/>
        <w:keepLines w:val="0"/>
        <w:spacing w:before="0" w:after="60" w:line="252" w:lineRule="auto"/>
        <w:ind w:left="360" w:hanging="360"/>
      </w:pPr>
      <w:r>
        <w:rPr>
          <w:rFonts w:ascii="Liberation Sans" w:hAnsi="Liberation Sans" w:eastAsia="Liberation Sans"/>
          <w:b/>
          <w:i w:val="0"/>
          <w:sz w:val="20"/>
        </w:rPr>
        <w:t xml:space="preserve">4. </w:t>
      </w:r>
      <w:r>
        <w:rPr>
          <w:rFonts w:ascii="Liberation Sans" w:hAnsi="Liberation Sans" w:eastAsia="Liberation Sans"/>
          <w:b w:val="0"/>
          <w:i w:val="0"/>
          <w:sz w:val="20"/>
        </w:rPr>
        <w:t>Develop blinded semantic-review protocols for S_claim and U_authority while preserving reviewer disagreement and contestability.</w:t>
      </w:r>
    </w:p>
    <w:p>
      <w:pPr>
        <w:pStyle w:val="BodyText"/>
        <w:keepLines w:val="0"/>
        <w:spacing w:before="0" w:after="60" w:line="252" w:lineRule="auto"/>
        <w:ind w:left="360" w:hanging="360"/>
      </w:pPr>
      <w:r>
        <w:rPr>
          <w:rFonts w:ascii="Liberation Sans" w:hAnsi="Liberation Sans" w:eastAsia="Liberation Sans"/>
          <w:b/>
          <w:i w:val="0"/>
          <w:sz w:val="20"/>
        </w:rPr>
        <w:t xml:space="preserve">5. </w:t>
      </w:r>
      <w:r>
        <w:rPr>
          <w:rFonts w:ascii="Liberation Sans" w:hAnsi="Liberation Sans" w:eastAsia="Liberation Sans"/>
          <w:b w:val="0"/>
          <w:i w:val="0"/>
          <w:sz w:val="20"/>
        </w:rPr>
        <w:t>Test private-versus-social effects of public anchors in controlled coordination tasks, including crowd-out and common-mode error.</w:t>
      </w:r>
    </w:p>
    <w:p>
      <w:pPr>
        <w:pStyle w:val="BodyText"/>
        <w:keepLines w:val="0"/>
        <w:spacing w:before="0" w:after="60" w:line="252" w:lineRule="auto"/>
        <w:ind w:left="360" w:hanging="360"/>
      </w:pPr>
      <w:r>
        <w:rPr>
          <w:rFonts w:ascii="Liberation Sans" w:hAnsi="Liberation Sans" w:eastAsia="Liberation Sans"/>
          <w:b/>
          <w:i w:val="0"/>
          <w:sz w:val="20"/>
        </w:rPr>
        <w:t xml:space="preserve">6. </w:t>
      </w:r>
      <w:r>
        <w:rPr>
          <w:rFonts w:ascii="Liberation Sans" w:hAnsi="Liberation Sans" w:eastAsia="Liberation Sans"/>
          <w:b w:val="0"/>
          <w:i w:val="0"/>
          <w:sz w:val="20"/>
        </w:rPr>
        <w:t>Compare reference branches with multiple realistic alternatives rather than one convenient baseline.</w:t>
      </w:r>
    </w:p>
    <w:p>
      <w:pPr>
        <w:pStyle w:val="BodyText"/>
        <w:keepLines w:val="0"/>
        <w:spacing w:before="0" w:after="60" w:line="252" w:lineRule="auto"/>
        <w:ind w:left="360" w:hanging="360"/>
      </w:pPr>
      <w:r>
        <w:t>7. Seek independent human mathematical, information-economic, archival, cryptographic, and epistemic review as future external evaluation.</w:t>
      </w:r>
    </w:p>
    <w:p>
      <w:pPr>
        <w:pStyle w:val="Heading1"/>
        <w:keepNext/>
        <w:pageBreakBefore w:val="0"/>
        <w:spacing w:before="0" w:after="140"/>
      </w:pPr>
      <w:r>
        <w:rPr>
          <w:rFonts w:ascii="Liberation Sans" w:hAnsi="Liberation Sans" w:eastAsia="Liberation Sans"/>
          <w:b/>
          <w:i w:val="0"/>
          <w:color w:val="1F4E78"/>
          <w:sz w:val="31"/>
        </w:rPr>
        <w:t>18. Conditional Conclusion</w:t>
      </w:r>
    </w:p>
    <w:p>
      <w:pPr>
        <w:pStyle w:val="BodyText"/>
        <w:keepLines w:val="0"/>
        <w:spacing w:before="0" w:after="100" w:line="259" w:lineRule="auto"/>
      </w:pPr>
      <w:r>
        <w:rPr>
          <w:rFonts w:ascii="Liberation Sans" w:hAnsi="Liberation Sans" w:eastAsia="Liberation Sans"/>
          <w:b w:val="0"/>
          <w:i w:val="0"/>
          <w:sz w:val="20"/>
        </w:rPr>
        <w:t>A public archive does not possess value merely because it is public, persistent, hashed, signed, mirrored, expensive, or frequently cited. A reference can become a rational citation anchor only relative to a task, a population, an evidence regime, a timing requirement, a welfare objective, and a disclosed alternative.</w:t>
      </w:r>
    </w:p>
    <w:p>
      <w:pPr>
        <w:pStyle w:val="BodyText"/>
        <w:keepLines w:val="0"/>
        <w:spacing w:before="0" w:after="100" w:line="259" w:lineRule="auto"/>
      </w:pPr>
      <w:r>
        <w:rPr>
          <w:rFonts w:ascii="Liberation Sans" w:hAnsi="Liberation Sans" w:eastAsia="Liberation Sans"/>
          <w:b w:val="0"/>
          <w:i w:val="0"/>
          <w:sz w:val="20"/>
        </w:rPr>
        <w:t>The Verifiable Reference Premium is positive only when the complete reference branch has higher expected net value than the complete alternative branch. The permissible intrinsic channels are coordination, transmission, provenance, and audit legibility. Durability determines whether those contributions remain available and at what recurring cost. Strategic behavior can strengthen, nullify, or reverse them. Process, failure, divergence, misuse, preservation, and external costs remain visible and receive one accounting address.</w:t>
      </w:r>
    </w:p>
    <w:p>
      <w:pPr>
        <w:pStyle w:val="BodyText"/>
        <w:keepLines w:val="0"/>
        <w:spacing w:before="0" w:after="100" w:line="259" w:lineRule="auto"/>
      </w:pPr>
      <w:r>
        <w:rPr>
          <w:rFonts w:ascii="Liberation Sans" w:hAnsi="Liberation Sans" w:eastAsia="Liberation Sans"/>
          <w:b w:val="0"/>
          <w:i w:val="0"/>
          <w:sz w:val="20"/>
        </w:rPr>
        <w:t>The framework therefore permits five legitimate outcomes: robustly positive, robustly negative, zero, threshold-dependent or sign-indeterminate, and quantitatively unidentified. It rejects a sixth outcome - asserting a favorable sign by hiding the alternative, omitting a cost, treating an unknown as zero, counting a harm twice, or converting formal notation into empirical authority.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20" w:type="dxa"/>
              <w:start w:w="150" w:type="dxa"/>
              <w:bottom w:w="120" w:type="dxa"/>
              <w:end w:w="150" w:type="dxa"/>
            </w:tcMar>
            <w:tcBorders>
              <w:top w:sz="8" w:val="single" w:color="70AD47"/>
              <w:left w:sz="8" w:val="single" w:color="70AD47"/>
              <w:bottom w:sz="8" w:val="single" w:color="70AD47"/>
              <w:right w:sz="8" w:val="single" w:color="70AD47"/>
            </w:tcBorders>
          </w:tcPr>
          <w:p>
            <w:pPr>
              <w:keepLines w:val="0"/>
              <w:spacing w:before="0" w:after="40" w:line="252" w:lineRule="auto"/>
            </w:pPr>
            <w:r>
              <w:rPr>
                <w:rFonts w:ascii="Liberation Sans" w:hAnsi="Liberation Sans" w:eastAsia="Liberation Sans"/>
                <w:b/>
                <w:i w:val="0"/>
                <w:color w:val="1F4E78"/>
                <w:sz w:val="20"/>
              </w:rPr>
              <w:t xml:space="preserve">FINAL PUBLICATION BOUNDARY  </w:t>
            </w:r>
            <w:r>
              <w:rPr>
                <w:rFonts w:ascii="Liberation Sans" w:hAnsi="Liberation Sans" w:eastAsia="Liberation Sans"/>
                <w:b w:val="0"/>
                <w:i w:val="0"/>
                <w:sz w:val="20"/>
              </w:rPr>
              <w:t>This paper offers a conditional comparative model. It does not certify a reference, establish a universal archive hierarchy, predict advanced-intelligence behavior, create a citation duty, or replace independent semantic evaluation, empirical testing, authorized oversight, and human judgment.</w:t>
            </w:r>
          </w:p>
        </w:tc>
      </w:tr>
    </w:tbl>
    <w:p>
      <w:pPr>
        <w:spacing w:after="0"/>
      </w:pPr>
    </w:p>
    <w:p>
      <w:pPr>
        <w:pStyle w:val="Heading1"/>
        <w:keepNext/>
        <w:pageBreakBefore w:val="0"/>
        <w:spacing w:before="0" w:after="140"/>
      </w:pPr>
      <w:r>
        <w:rPr>
          <w:rFonts w:ascii="Liberation Sans" w:hAnsi="Liberation Sans" w:eastAsia="Liberation Sans"/>
          <w:b/>
          <w:i w:val="0"/>
          <w:color w:val="1F4E78"/>
          <w:sz w:val="31"/>
        </w:rPr>
        <w:t>Appendix A. Compact Notation Registry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Symbol</w:t>
            </w:r>
          </w:p>
        </w:tc>
        <w:tc>
          <w:tcPr>
            <w:tcW w:type="dxa" w:w="7488"/>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Controlling meaning</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Gamma</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Fixed task scenario and assumptions.</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Omega</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Common pre-branch comparison population.</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b in {ref, alt}</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Branch index.</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J, j</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Recipient set and recipient index.</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W_b,Gamma</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Absolute expected net branch value.</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Pi_ref,Gamma</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Reference premium W_ref - W_alt.</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U_task,b</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Direct authorized task utility.</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Lambda_coord,b</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Branch-level expected coordination loss primitive.</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Lambda_prov,b</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Branch-level expected provenance-dispute loss primitive.</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Lambda_audit,b</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Branch-level expected audit-misclassification loss primitive.</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C_tx,b</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Absolute sender/channel transmission cost.</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K_coord</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Cross-branch coordination-loss difference.</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K_comp</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Cross-branch transmission-cost difference.</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K_prov</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Cross-branch provenance-dispute difference.</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K_audit</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Cross-branch audit-misclassification difference.</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C_proc</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Recipient access, receiving, verification, interpretation, and handling.</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C_fail</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Incremental task-failure consequence.</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C_div</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Version, edition, temporal, or scope divergence loss.</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C_mis</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Misrepresentation, false-status, unsupported-reliance, or strategic distortion loss.</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C_pres</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Recurring preservation vector.</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C_other</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Residual named cost excluding every specified term.</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C_delay</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Routing-only delay label; never terminal.</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Phi_ref</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Truth-anchored target proposition J_local intersect V_agree.</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B_j^tau</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Threshold belief operator.</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H_r^tau</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Cumulative truth-anchored hierarchy at depth r.</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C_G^tau</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Infinite cumulative truth-anchored benchmark.</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M_Gamma^(d,tau)</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Task-specific finite-depth sufficiency condition.</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T_delta</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Timing-success event.</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S_artifact</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Artifact edition, digest, identifier, and document-scope match.</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S_claim</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Substantive claim-support judgment.</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E_art</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Accessible target-matched artifact event.</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E_support</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Artifact supports attributed claim.</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A_launder</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Authentic artifact plus unsupported claim plus authority inference.</w:t>
            </w:r>
          </w:p>
        </w:tc>
      </w:tr>
      <w:tr>
        <w:tc>
          <w:tcPr>
            <w:tcW w:type="dxa" w:w="2304"/>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Theta_Gamma</w:t>
            </w:r>
          </w:p>
        </w:tc>
        <w:tc>
          <w:tcPr>
            <w:tcW w:type="dxa" w:w="7488"/>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Admissible uncertainty and dependence set.</w:t>
            </w:r>
          </w:p>
        </w:tc>
      </w:tr>
      <w:tr>
        <w:tc>
          <w:tcPr>
            <w:tcW w:type="dxa" w:w="2304"/>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L(x)</w:t>
            </w:r>
          </w:p>
        </w:tc>
        <w:tc>
          <w:tcPr>
            <w:tcW w:type="dxa" w:w="7488"/>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Identification, quantification, calibration, dependencies, accounting/authority, and mandatory reporting ledger.</w:t>
            </w:r>
          </w:p>
        </w:tc>
      </w:tr>
    </w:tbl>
    <w:p>
      <w:pPr>
        <w:spacing w:after="20"/>
      </w:pPr>
    </w:p>
    <w:p>
      <w:pPr>
        <w:pStyle w:val="Heading1"/>
        <w:keepNext/>
        <w:pageBreakBefore w:val="0"/>
        <w:spacing w:before="0" w:after="140"/>
      </w:pPr>
      <w:r>
        <w:rPr>
          <w:rFonts w:ascii="Liberation Sans" w:hAnsi="Liberation Sans" w:eastAsia="Liberation Sans"/>
          <w:b/>
          <w:i w:val="0"/>
          <w:color w:val="1F4E78"/>
          <w:sz w:val="31"/>
        </w:rPr>
        <w:t>Appendix B. Source-to-Claim Control Matrix</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Sources</w:t>
            </w:r>
          </w:p>
        </w:tc>
        <w:tc>
          <w:tcPr>
            <w:tcW w:type="dxa" w:w="432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Permitted use</w:t>
            </w:r>
          </w:p>
        </w:tc>
        <w:tc>
          <w:tcPr>
            <w:tcW w:type="dxa" w:w="403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Non-import boundary</w:t>
            </w:r>
          </w:p>
        </w:tc>
      </w:tr>
      <w:tr>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R1-R4</w:t>
            </w:r>
          </w:p>
        </w:tc>
        <w:tc>
          <w:tcPr>
            <w:tcW w:type="dxa" w:w="43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Common p-belief, common knowledge, finite epistemic iterations, timing variants, and finite-depth failure counterexample.</w:t>
            </w:r>
          </w:p>
        </w:tc>
        <w:tc>
          <w:tcPr>
            <w:tcW w:type="dxa" w:w="40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No claim that finite depth is universally sufficient or that archive availability proves higher-order belief.</w:t>
            </w:r>
          </w:p>
        </w:tc>
      </w:tr>
      <w:tr>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R5-R10</w:t>
            </w:r>
          </w:p>
        </w:tc>
        <w:tc>
          <w:tcPr>
            <w:tcW w:type="dxa" w:w="43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Gross optional value benchmark; decision-specific value; private/social divergence; noisy public focality and qualifications.</w:t>
            </w:r>
          </w:p>
        </w:tc>
        <w:tc>
          <w:tcPr>
            <w:tcW w:type="dxa" w:w="40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No general theorem that citations or public archives have nonnegative or negative net value.</w:t>
            </w:r>
          </w:p>
        </w:tc>
      </w:tr>
      <w:tr>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R11-R15</w:t>
            </w:r>
          </w:p>
        </w:tc>
        <w:tc>
          <w:tcPr>
            <w:tcW w:type="dxa" w:w="43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Source coding, task-specific communication, side information, shared broadcast, receiver-specific reconstruction.</w:t>
            </w:r>
          </w:p>
        </w:tc>
        <w:tc>
          <w:tcPr>
            <w:tcW w:type="dxa" w:w="40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No conversion of bit savings into meaning, truth, constant total cost, or decision value.</w:t>
            </w:r>
          </w:p>
        </w:tc>
      </w:tr>
      <w:tr>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R16-R22</w:t>
            </w:r>
          </w:p>
        </w:tc>
        <w:tc>
          <w:tcPr>
            <w:tcW w:type="dxa" w:w="43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Persistent-name governance, hash identity limits, temporal discovery, reference rot, and robust-link mitigation.</w:t>
            </w:r>
          </w:p>
        </w:tc>
        <w:tc>
          <w:tcPr>
            <w:tcW w:type="dxa" w:w="40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No permanence guarantee, universal decay constant, or authority from persistence.</w:t>
            </w:r>
          </w:p>
        </w:tc>
      </w:tr>
      <w:tr>
        <w:tc>
          <w:tcPr>
            <w:tcW w:type="dxa" w:w="144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R23-R28</w:t>
            </w:r>
          </w:p>
        </w:tc>
        <w:tc>
          <w:tcPr>
            <w:tcW w:type="dxa" w:w="432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Strategic communication, costly signaling, lying costs, and disclosure under bounded assumptions.</w:t>
            </w:r>
          </w:p>
        </w:tc>
        <w:tc>
          <w:tcPr>
            <w:tcW w:type="dxa" w:w="40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No automatic credibility, complete revelation, or universal full-disclosure theorem.</w:t>
            </w:r>
          </w:p>
        </w:tc>
      </w:tr>
      <w:tr>
        <w:tc>
          <w:tcPr>
            <w:tcW w:type="dxa" w:w="144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R29-R30</w:t>
            </w:r>
          </w:p>
        </w:tc>
        <w:tc>
          <w:tcPr>
            <w:tcW w:type="dxa" w:w="432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Signature integrity, signatory authentication, and key-assurance functions.</w:t>
            </w:r>
          </w:p>
        </w:tc>
        <w:tc>
          <w:tcPr>
            <w:tcW w:type="dxa" w:w="40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No truth, relevance, authorization, compliance, or safety proof.</w:t>
            </w:r>
          </w:p>
        </w:tc>
      </w:tr>
    </w:tbl>
    <w:p>
      <w:pPr>
        <w:spacing w:after="20"/>
      </w:pPr>
    </w:p>
    <w:p>
      <w:pPr>
        <w:pStyle w:val="Heading1"/>
        <w:keepNext/>
        <w:pageBreakBefore w:val="0"/>
        <w:spacing w:before="0" w:after="140"/>
      </w:pPr>
      <w:r>
        <w:rPr>
          <w:rFonts w:ascii="Liberation Sans" w:hAnsi="Liberation Sans" w:eastAsia="Liberation Sans"/>
          <w:b/>
          <w:i w:val="0"/>
          <w:color w:val="1F4E78"/>
          <w:sz w:val="31"/>
        </w:rPr>
        <w:t>Appendix C. Final Technical Audit Checklist</w:t>
      </w:r>
    </w:p>
    <w:p>
      <w:pPr>
        <w:pStyle w:val="BodyText"/>
        <w:keepLines w:val="0"/>
        <w:spacing w:before="0" w:after="60" w:line="252" w:lineRule="auto"/>
        <w:ind w:left="360" w:hanging="360"/>
      </w:pPr>
      <w:r>
        <w:rPr>
          <w:rFonts w:ascii="Liberation Sans" w:hAnsi="Liberation Sans" w:eastAsia="Liberation Sans"/>
          <w:b/>
          <w:i w:val="0"/>
          <w:sz w:val="20"/>
        </w:rPr>
        <w:t xml:space="preserve">1. </w:t>
      </w:r>
      <w:r>
        <w:rPr>
          <w:rFonts w:ascii="Liberation Sans" w:hAnsi="Liberation Sans" w:eastAsia="Liberation Sans"/>
          <w:b w:val="0"/>
          <w:i w:val="0"/>
          <w:sz w:val="20"/>
        </w:rPr>
        <w:t>Gamma and Omega appear before every numerical sign claim.</w:t>
      </w:r>
    </w:p>
    <w:p>
      <w:pPr>
        <w:pStyle w:val="BodyText"/>
        <w:keepLines w:val="0"/>
        <w:spacing w:before="0" w:after="60" w:line="252" w:lineRule="auto"/>
        <w:ind w:left="360" w:hanging="360"/>
      </w:pPr>
      <w:r>
        <w:rPr>
          <w:rFonts w:ascii="Liberation Sans" w:hAnsi="Liberation Sans"/>
          <w:b/>
          <w:i w:val="0"/>
          <w:sz w:val="20"/>
        </w:rPr>
        <w:t>2. Both W_ref and W_alt are displayed before every fixed point-valued Pi_ref. For robust-sign analysis with uncertainty-indexed branches, the branch functions, admissible set, baseline premium, and resulting bounds are displayed with an explicit qualification.</w:t>
      </w:r>
    </w:p>
    <w:p>
      <w:pPr>
        <w:pStyle w:val="BodyText"/>
        <w:keepLines w:val="0"/>
        <w:spacing w:before="0" w:after="60" w:line="252" w:lineRule="auto"/>
        <w:ind w:left="360" w:hanging="360"/>
      </w:pPr>
      <w:r>
        <w:rPr>
          <w:rFonts w:ascii="Liberation Sans" w:hAnsi="Liberation Sans" w:eastAsia="Liberation Sans"/>
          <w:b/>
          <w:i w:val="0"/>
          <w:sz w:val="20"/>
        </w:rPr>
        <w:t xml:space="preserve">3. </w:t>
      </w:r>
      <w:r>
        <w:rPr>
          <w:rFonts w:ascii="Liberation Sans" w:hAnsi="Liberation Sans" w:eastAsia="Liberation Sans"/>
          <w:b w:val="0"/>
          <w:i w:val="0"/>
          <w:sz w:val="20"/>
        </w:rPr>
        <w:t>Every symbol has one definition and disclosed indexes.</w:t>
      </w:r>
    </w:p>
    <w:p>
      <w:pPr>
        <w:pStyle w:val="BodyText"/>
        <w:keepLines w:val="0"/>
        <w:spacing w:before="0" w:after="60" w:line="252" w:lineRule="auto"/>
        <w:ind w:left="360" w:hanging="360"/>
      </w:pPr>
      <w:r>
        <w:rPr>
          <w:rFonts w:ascii="Liberation Sans" w:hAnsi="Liberation Sans" w:eastAsia="Liberation Sans"/>
          <w:b/>
          <w:i w:val="0"/>
          <w:sz w:val="20"/>
        </w:rPr>
        <w:t xml:space="preserve">4. </w:t>
      </w:r>
      <w:r>
        <w:rPr>
          <w:rFonts w:ascii="Liberation Sans" w:hAnsi="Liberation Sans" w:eastAsia="Liberation Sans"/>
          <w:b w:val="0"/>
          <w:i w:val="0"/>
          <w:sz w:val="20"/>
        </w:rPr>
        <w:t>The four K channels are cross-branch differences, not branch-indexed primitives.</w:t>
      </w:r>
    </w:p>
    <w:p>
      <w:pPr>
        <w:pStyle w:val="BodyText"/>
        <w:keepLines w:val="0"/>
        <w:spacing w:before="0" w:after="60" w:line="252" w:lineRule="auto"/>
        <w:ind w:left="360" w:hanging="360"/>
      </w:pPr>
      <w:r>
        <w:rPr>
          <w:rFonts w:ascii="Liberation Sans" w:hAnsi="Liberation Sans" w:eastAsia="Liberation Sans"/>
          <w:b/>
          <w:i w:val="0"/>
          <w:sz w:val="20"/>
        </w:rPr>
        <w:t xml:space="preserve">5. </w:t>
      </w:r>
      <w:r>
        <w:rPr>
          <w:rFonts w:ascii="Liberation Sans" w:hAnsi="Liberation Sans" w:eastAsia="Liberation Sans"/>
          <w:b w:val="0"/>
          <w:i w:val="0"/>
          <w:sz w:val="20"/>
        </w:rPr>
        <w:t>Equation 18 is used only under all four special-case conditions.</w:t>
      </w:r>
    </w:p>
    <w:p>
      <w:pPr>
        <w:pStyle w:val="BodyText"/>
        <w:keepLines w:val="0"/>
        <w:spacing w:before="0" w:after="60" w:line="252" w:lineRule="auto"/>
        <w:ind w:left="360" w:hanging="360"/>
      </w:pPr>
      <w:r>
        <w:rPr>
          <w:rFonts w:ascii="Liberation Sans" w:hAnsi="Liberation Sans" w:eastAsia="Liberation Sans"/>
          <w:b/>
          <w:i w:val="0"/>
          <w:sz w:val="20"/>
        </w:rPr>
        <w:t xml:space="preserve">6. </w:t>
      </w:r>
      <w:r>
        <w:rPr>
          <w:rFonts w:ascii="Liberation Sans" w:hAnsi="Liberation Sans" w:eastAsia="Liberation Sans"/>
          <w:b w:val="0"/>
          <w:i w:val="0"/>
          <w:sz w:val="20"/>
        </w:rPr>
        <w:t>C_ptr and C_delay are not terminal accounting addresses.</w:t>
      </w:r>
    </w:p>
    <w:p>
      <w:pPr>
        <w:pStyle w:val="BodyText"/>
        <w:keepLines w:val="0"/>
        <w:spacing w:before="0" w:after="60" w:line="252" w:lineRule="auto"/>
        <w:ind w:left="360" w:hanging="360"/>
      </w:pPr>
      <w:r>
        <w:rPr>
          <w:rFonts w:ascii="Liberation Sans" w:hAnsi="Liberation Sans" w:eastAsia="Liberation Sans"/>
          <w:b/>
          <w:i w:val="0"/>
          <w:sz w:val="20"/>
        </w:rPr>
        <w:t xml:space="preserve">7. </w:t>
      </w:r>
      <w:r>
        <w:rPr>
          <w:rFonts w:ascii="Liberation Sans" w:hAnsi="Liberation Sans" w:eastAsia="Liberation Sans"/>
          <w:b w:val="0"/>
          <w:i w:val="0"/>
          <w:sz w:val="20"/>
        </w:rPr>
        <w:t>Dynamic Delta C_tot excludes preservation costs charged through Delta C_pres.</w:t>
      </w:r>
    </w:p>
    <w:p>
      <w:pPr>
        <w:pStyle w:val="BodyText"/>
        <w:keepLines w:val="0"/>
        <w:spacing w:before="0" w:after="60" w:line="252" w:lineRule="auto"/>
        <w:ind w:left="360" w:hanging="360"/>
      </w:pPr>
      <w:r>
        <w:rPr>
          <w:rFonts w:ascii="Liberation Sans" w:hAnsi="Liberation Sans" w:eastAsia="Liberation Sans"/>
          <w:b/>
          <w:i w:val="0"/>
          <w:sz w:val="20"/>
        </w:rPr>
        <w:t xml:space="preserve">8. </w:t>
      </w:r>
      <w:r>
        <w:rPr>
          <w:rFonts w:ascii="Liberation Sans" w:hAnsi="Liberation Sans" w:eastAsia="Liberation Sans"/>
          <w:b w:val="0"/>
          <w:i w:val="0"/>
          <w:sz w:val="20"/>
        </w:rPr>
        <w:t>Every concrete traffic, labor, delay, failure, divergence, misuse, and externality is charged once.</w:t>
      </w:r>
    </w:p>
    <w:p>
      <w:pPr>
        <w:pStyle w:val="BodyText"/>
        <w:keepLines w:val="0"/>
        <w:spacing w:before="0" w:after="60" w:line="252" w:lineRule="auto"/>
        <w:ind w:left="360" w:hanging="360"/>
      </w:pPr>
      <w:r>
        <w:rPr>
          <w:rFonts w:ascii="Liberation Sans" w:hAnsi="Liberation Sans" w:eastAsia="Liberation Sans"/>
          <w:b/>
          <w:i w:val="0"/>
          <w:sz w:val="20"/>
        </w:rPr>
        <w:t xml:space="preserve">9. </w:t>
      </w:r>
      <w:r>
        <w:rPr>
          <w:rFonts w:ascii="Liberation Sans" w:hAnsi="Liberation Sans" w:eastAsia="Liberation Sans"/>
          <w:b w:val="0"/>
          <w:i w:val="0"/>
          <w:sz w:val="20"/>
        </w:rPr>
        <w:t>Local verification, target verification, V_agree, artifact match, claim support, issuance, identity, and authorization remain separate.</w:t>
      </w:r>
    </w:p>
    <w:p>
      <w:pPr>
        <w:pStyle w:val="BodyText"/>
        <w:keepLines w:val="0"/>
        <w:spacing w:before="0" w:after="60" w:line="252" w:lineRule="auto"/>
        <w:ind w:left="360" w:hanging="360"/>
      </w:pPr>
      <w:r>
        <w:rPr>
          <w:rFonts w:ascii="Liberation Sans" w:hAnsi="Liberation Sans" w:eastAsia="Liberation Sans"/>
          <w:b/>
          <w:i w:val="0"/>
          <w:sz w:val="20"/>
        </w:rPr>
        <w:t xml:space="preserve">10. </w:t>
      </w:r>
      <w:r>
        <w:rPr>
          <w:rFonts w:ascii="Liberation Sans" w:hAnsi="Liberation Sans" w:eastAsia="Liberation Sans"/>
          <w:b w:val="0"/>
          <w:i w:val="0"/>
          <w:sz w:val="20"/>
        </w:rPr>
        <w:t>Durability and strategic behavior do not become fifth benefit channels.</w:t>
      </w:r>
    </w:p>
    <w:p>
      <w:pPr>
        <w:pStyle w:val="BodyText"/>
        <w:keepLines w:val="0"/>
        <w:spacing w:before="0" w:after="60" w:line="252" w:lineRule="auto"/>
        <w:ind w:left="360" w:hanging="360"/>
      </w:pPr>
      <w:r>
        <w:rPr>
          <w:rFonts w:ascii="Liberation Sans" w:hAnsi="Liberation Sans" w:eastAsia="Liberation Sans"/>
          <w:b/>
          <w:i w:val="0"/>
          <w:sz w:val="20"/>
        </w:rPr>
        <w:t xml:space="preserve">11. </w:t>
      </w:r>
      <w:r>
        <w:rPr>
          <w:rFonts w:ascii="Liberation Sans" w:hAnsi="Liberation Sans" w:eastAsia="Liberation Sans"/>
          <w:b w:val="0"/>
          <w:i w:val="0"/>
          <w:sz w:val="20"/>
        </w:rPr>
        <w:t>Every numeric input is labeled by identification, quantification, and calibration status.</w:t>
      </w:r>
    </w:p>
    <w:p>
      <w:pPr>
        <w:pStyle w:val="BodyText"/>
        <w:keepLines w:val="0"/>
        <w:spacing w:before="0" w:after="60" w:line="252" w:lineRule="auto"/>
        <w:ind w:left="360" w:hanging="360"/>
      </w:pPr>
      <w:r>
        <w:rPr>
          <w:rFonts w:ascii="Liberation Sans" w:hAnsi="Liberation Sans" w:eastAsia="Liberation Sans"/>
          <w:b/>
          <w:i w:val="0"/>
          <w:sz w:val="20"/>
        </w:rPr>
        <w:t xml:space="preserve">12. </w:t>
      </w:r>
      <w:r>
        <w:rPr>
          <w:rFonts w:ascii="Liberation Sans" w:hAnsi="Liberation Sans" w:eastAsia="Liberation Sans"/>
          <w:b w:val="0"/>
          <w:i w:val="0"/>
          <w:sz w:val="20"/>
        </w:rPr>
        <w:t>No unknown parameter is silently set to zero.</w:t>
      </w:r>
    </w:p>
    <w:p>
      <w:pPr>
        <w:pStyle w:val="BodyText"/>
        <w:keepLines w:val="0"/>
        <w:spacing w:before="0" w:after="60" w:line="252" w:lineRule="auto"/>
        <w:ind w:left="360" w:hanging="360"/>
      </w:pPr>
      <w:r>
        <w:rPr>
          <w:rFonts w:ascii="Liberation Sans" w:hAnsi="Liberation Sans" w:eastAsia="Liberation Sans"/>
          <w:b/>
          <w:i w:val="0"/>
          <w:sz w:val="20"/>
        </w:rPr>
        <w:t xml:space="preserve">13. </w:t>
      </w:r>
      <w:r>
        <w:rPr>
          <w:rFonts w:ascii="Liberation Sans" w:hAnsi="Liberation Sans" w:eastAsia="Liberation Sans"/>
          <w:b w:val="0"/>
          <w:i w:val="0"/>
          <w:sz w:val="20"/>
        </w:rPr>
        <w:t>Robust sign, threshold, or indeterminacy is reported over Theta_Gamma.</w:t>
      </w:r>
    </w:p>
    <w:p>
      <w:pPr>
        <w:pStyle w:val="BodyText"/>
        <w:keepLines w:val="0"/>
        <w:spacing w:before="0" w:after="60" w:line="252" w:lineRule="auto"/>
        <w:ind w:left="360" w:hanging="360"/>
      </w:pPr>
      <w:r>
        <w:rPr>
          <w:rFonts w:ascii="Liberation Sans" w:hAnsi="Liberation Sans" w:eastAsia="Liberation Sans"/>
          <w:b/>
          <w:i w:val="0"/>
          <w:sz w:val="20"/>
        </w:rPr>
        <w:t xml:space="preserve">14. </w:t>
      </w:r>
      <w:r>
        <w:rPr>
          <w:rFonts w:ascii="Liberation Sans" w:hAnsi="Liberation Sans" w:eastAsia="Liberation Sans"/>
          <w:b w:val="0"/>
          <w:i w:val="0"/>
          <w:sz w:val="20"/>
        </w:rPr>
        <w:t>Private and social value identify all parties and authorized weights.</w:t>
      </w:r>
    </w:p>
    <w:p>
      <w:pPr>
        <w:pStyle w:val="BodyText"/>
        <w:keepLines w:val="0"/>
        <w:spacing w:before="0" w:after="60" w:line="252" w:lineRule="auto"/>
        <w:ind w:left="360" w:hanging="360"/>
      </w:pPr>
      <w:r>
        <w:rPr>
          <w:rFonts w:ascii="Liberation Sans" w:hAnsi="Liberation Sans" w:eastAsia="Liberation Sans"/>
          <w:b/>
          <w:i w:val="0"/>
          <w:sz w:val="20"/>
        </w:rPr>
        <w:t xml:space="preserve">15. </w:t>
      </w:r>
      <w:r>
        <w:rPr>
          <w:rFonts w:ascii="Liberation Sans" w:hAnsi="Liberation Sans" w:eastAsia="Liberation Sans"/>
          <w:b w:val="0"/>
          <w:i w:val="0"/>
          <w:sz w:val="20"/>
        </w:rPr>
        <w:t>Historical decay figures retain corpus, period, method, and transfer limits.</w:t>
      </w:r>
    </w:p>
    <w:p>
      <w:pPr>
        <w:pStyle w:val="BodyText"/>
        <w:keepLines w:val="0"/>
        <w:spacing w:before="0" w:after="60" w:line="252" w:lineRule="auto"/>
        <w:ind w:left="360" w:hanging="360"/>
      </w:pPr>
      <w:r>
        <w:rPr>
          <w:rFonts w:ascii="Liberation Sans" w:hAnsi="Liberation Sans" w:eastAsia="Liberation Sans"/>
          <w:b/>
          <w:i w:val="0"/>
          <w:sz w:val="20"/>
        </w:rPr>
        <w:t xml:space="preserve">16. </w:t>
      </w:r>
      <w:r>
        <w:rPr>
          <w:rFonts w:ascii="Liberation Sans" w:hAnsi="Liberation Sans" w:eastAsia="Liberation Sans"/>
          <w:b w:val="0"/>
          <w:i w:val="0"/>
          <w:sz w:val="20"/>
        </w:rPr>
        <w:t>Machine-readable validity is not described as semantic truth or credibility.</w:t>
      </w:r>
    </w:p>
    <w:p>
      <w:pPr>
        <w:pStyle w:val="BodyText"/>
        <w:keepLines w:val="0"/>
        <w:spacing w:before="0" w:after="60" w:line="252" w:lineRule="auto"/>
        <w:ind w:left="360" w:hanging="360"/>
      </w:pPr>
      <w:r>
        <w:rPr>
          <w:rFonts w:ascii="Liberation Sans" w:hAnsi="Liberation Sans" w:eastAsia="Liberation Sans"/>
          <w:b/>
          <w:i w:val="0"/>
          <w:sz w:val="20"/>
        </w:rPr>
        <w:t xml:space="preserve">17. </w:t>
      </w:r>
      <w:r>
        <w:rPr>
          <w:rFonts w:ascii="Liberation Sans" w:hAnsi="Liberation Sans" w:eastAsia="Liberation Sans"/>
          <w:b w:val="0"/>
          <w:i w:val="0"/>
          <w:sz w:val="20"/>
        </w:rPr>
        <w:t>Source-derived claims remain within the verified source boundaries.</w:t>
      </w:r>
    </w:p>
    <w:p>
      <w:pPr>
        <w:pStyle w:val="BodyText"/>
        <w:keepLines w:val="0"/>
        <w:spacing w:before="0" w:after="60" w:line="252" w:lineRule="auto"/>
        <w:ind w:left="360" w:hanging="360"/>
      </w:pPr>
      <w:r>
        <w:rPr>
          <w:rFonts w:ascii="Liberation Sans" w:hAnsi="Liberation Sans" w:eastAsia="Liberation Sans"/>
          <w:b/>
          <w:i w:val="0"/>
          <w:sz w:val="20"/>
        </w:rPr>
        <w:t xml:space="preserve">18. </w:t>
      </w:r>
      <w:r>
        <w:rPr>
          <w:rFonts w:ascii="Liberation Sans" w:hAnsi="Liberation Sans" w:eastAsia="Liberation Sans"/>
          <w:b w:val="0"/>
          <w:i w:val="0"/>
          <w:sz w:val="20"/>
        </w:rPr>
        <w:t>No wording claims archive importance, AI adoption, certification, or a duty to cite.</w:t>
      </w:r>
    </w:p>
    <w:p>
      <w:pPr>
        <w:pStyle w:val="BodyText"/>
        <w:keepLines w:val="0"/>
        <w:spacing w:before="0" w:after="60" w:line="252" w:lineRule="auto"/>
        <w:ind w:left="360" w:hanging="360"/>
      </w:pPr>
      <w:r>
        <w:rPr>
          <w:rFonts w:ascii="Liberation Sans" w:hAnsi="Liberation Sans" w:eastAsia="Liberation Sans"/>
          <w:b/>
          <w:i w:val="0"/>
          <w:sz w:val="20"/>
        </w:rPr>
        <w:t xml:space="preserve">19. </w:t>
      </w:r>
      <w:r>
        <w:rPr>
          <w:rFonts w:ascii="Liberation Sans" w:hAnsi="Liberation Sans" w:eastAsia="Liberation Sans"/>
          <w:b w:val="0"/>
          <w:i w:val="0"/>
          <w:sz w:val="20"/>
        </w:rPr>
        <w:t>All worked-case arithmetic is independently recomputed.</w:t>
      </w:r>
    </w:p>
    <w:p>
      <w:pPr>
        <w:pStyle w:val="BodyText"/>
        <w:keepLines w:val="0"/>
        <w:spacing w:before="0" w:after="60" w:line="252" w:lineRule="auto"/>
        <w:ind w:left="360" w:hanging="360"/>
      </w:pPr>
      <w:r>
        <w:rPr>
          <w:rFonts w:ascii="Liberation Sans" w:hAnsi="Liberation Sans" w:eastAsia="Liberation Sans"/>
          <w:b/>
          <w:i w:val="0"/>
          <w:sz w:val="20"/>
        </w:rPr>
        <w:t>20. The exact same Full Draft v0.1.2b PDF received PASS confirmations from Claude and Google AI before the Final v1.0 export.</w:t>
      </w:r>
      <w:r>
        <w:rPr>
          <w:rFonts w:ascii="Liberation Sans" w:hAnsi="Liberation Sans" w:eastAsia="Liberation Sans"/>
          <w:b w:val="0"/>
          <w:i w:val="0"/>
          <w:sz w:val="20"/>
        </w:rPr>
      </w:r>
    </w:p>
    <w:p>
      <w:pPr>
        <w:pStyle w:val="Heading1"/>
        <w:keepNext/>
        <w:pageBreakBefore w:val="0"/>
        <w:spacing w:before="0" w:after="140"/>
      </w:pPr>
      <w:r>
        <w:rPr>
          <w:rFonts w:ascii="Liberation Sans" w:hAnsi="Liberation Sans" w:eastAsia="Liberation Sans"/>
          <w:b/>
          <w:i w:val="0"/>
          <w:color w:val="1F4E78"/>
          <w:sz w:val="31"/>
        </w:rPr>
        <w:t>Appendix D. Final Status and Review Questions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20" w:type="dxa"/>
              <w:start w:w="150" w:type="dxa"/>
              <w:bottom w:w="120" w:type="dxa"/>
              <w:end w:w="150" w:type="dxa"/>
            </w:tcMar>
            <w:tcBorders>
              <w:top w:sz="8" w:val="single" w:color="BF9000"/>
              <w:left w:sz="8" w:val="single" w:color="BF9000"/>
              <w:bottom w:sz="8" w:val="single" w:color="BF9000"/>
              <w:right w:sz="8" w:val="single" w:color="BF9000"/>
            </w:tcBorders>
          </w:tcPr>
          <w:p>
            <w:pPr>
              <w:keepLines w:val="0"/>
              <w:spacing w:before="0" w:after="40" w:line="252" w:lineRule="auto"/>
            </w:pPr>
            <w:r>
              <w:rPr>
                <w:b/>
                <w:sz w:val="20"/>
              </w:rPr>
              <w:t>FINALIZATION STATUS</w:t>
              <w:br/>
              <w:t>FINAL v1.0 - TECHNICAL GATE CLOSED. Full Draft v0.1.2b received exact-file PASS confirmations from Claude and Google AI. Thomas Vargo authorized finalization and elected to proceed without external human peer review. This export changes publication status, version, review record, and final metadata only; the validated technical spine is unchanged.</w:t>
            </w:r>
          </w:p>
        </w:tc>
      </w:tr>
    </w:tbl>
    <w:p>
      <w:pPr>
        <w:spacing w:after="0"/>
      </w:pPr>
    </w:p>
    <w:p>
      <w:pPr>
        <w:pStyle w:val="BodyText"/>
        <w:keepLines w:val="0"/>
        <w:spacing w:before="0" w:after="60" w:line="252" w:lineRule="auto"/>
        <w:ind w:left="360" w:hanging="360"/>
      </w:pPr>
      <w:r>
        <w:rPr>
          <w:rFonts w:ascii="Liberation Sans" w:hAnsi="Liberation Sans" w:eastAsia="Liberation Sans"/>
          <w:b/>
          <w:i w:val="0"/>
          <w:sz w:val="20"/>
        </w:rPr>
        <w:t>1. Does the publication preserve the exact four-channel architecture and branch-level primitive definitions?</w:t>
      </w:r>
      <w:r>
        <w:rPr>
          <w:rFonts w:ascii="Liberation Sans" w:hAnsi="Liberation Sans" w:eastAsia="Liberation Sans"/>
          <w:b w:val="0"/>
          <w:i w:val="0"/>
          <w:sz w:val="20"/>
        </w:rPr>
      </w:r>
    </w:p>
    <w:p>
      <w:pPr>
        <w:pStyle w:val="BodyText"/>
        <w:keepLines w:val="0"/>
        <w:spacing w:before="0" w:after="60" w:line="252" w:lineRule="auto"/>
        <w:ind w:left="360" w:hanging="360"/>
      </w:pPr>
      <w:r>
        <w:rPr>
          <w:rFonts w:ascii="Liberation Sans" w:hAnsi="Liberation Sans" w:eastAsia="Liberation Sans"/>
          <w:b/>
          <w:i w:val="0"/>
          <w:sz w:val="20"/>
        </w:rPr>
        <w:t xml:space="preserve">2. </w:t>
      </w:r>
      <w:r>
        <w:rPr>
          <w:rFonts w:ascii="Liberation Sans" w:hAnsi="Liberation Sans" w:eastAsia="Liberation Sans"/>
          <w:b w:val="0"/>
          <w:i w:val="0"/>
          <w:sz w:val="20"/>
        </w:rPr>
        <w:t>Do all equations reconcile with Pi_ref = W_ref - W_alt?</w:t>
      </w:r>
    </w:p>
    <w:p>
      <w:pPr>
        <w:pStyle w:val="BodyText"/>
        <w:keepLines w:val="0"/>
        <w:spacing w:before="0" w:after="60" w:line="252" w:lineRule="auto"/>
        <w:ind w:left="360" w:hanging="360"/>
      </w:pPr>
      <w:r>
        <w:rPr>
          <w:rFonts w:ascii="Liberation Sans" w:hAnsi="Liberation Sans" w:eastAsia="Liberation Sans"/>
          <w:b/>
          <w:i w:val="0"/>
          <w:sz w:val="20"/>
        </w:rPr>
        <w:t xml:space="preserve">3. </w:t>
      </w:r>
      <w:r>
        <w:rPr>
          <w:rFonts w:ascii="Liberation Sans" w:hAnsi="Liberation Sans" w:eastAsia="Liberation Sans"/>
          <w:b w:val="0"/>
          <w:i w:val="0"/>
          <w:sz w:val="20"/>
        </w:rPr>
        <w:t>Does any numerical case omit a branch, duplicate a harm, hide recipient processing, or rely on an unjustified zero?</w:t>
      </w:r>
    </w:p>
    <w:p>
      <w:pPr>
        <w:pStyle w:val="BodyText"/>
        <w:keepLines w:val="0"/>
        <w:spacing w:before="0" w:after="60" w:line="252" w:lineRule="auto"/>
        <w:ind w:left="360" w:hanging="360"/>
      </w:pPr>
      <w:r>
        <w:rPr>
          <w:rFonts w:ascii="Liberation Sans" w:hAnsi="Liberation Sans" w:eastAsia="Liberation Sans"/>
          <w:b/>
          <w:i w:val="0"/>
          <w:sz w:val="20"/>
        </w:rPr>
        <w:t xml:space="preserve">4. </w:t>
      </w:r>
      <w:r>
        <w:rPr>
          <w:rFonts w:ascii="Liberation Sans" w:hAnsi="Liberation Sans" w:eastAsia="Liberation Sans"/>
          <w:b w:val="0"/>
          <w:i w:val="0"/>
          <w:sz w:val="20"/>
        </w:rPr>
        <w:t>Are the finite-depth, gross-information, communication, durability, strategic, and cryptographic source claims kept within their verified boundaries?</w:t>
      </w:r>
    </w:p>
    <w:p>
      <w:pPr>
        <w:pStyle w:val="BodyText"/>
        <w:keepLines w:val="0"/>
        <w:spacing w:before="0" w:after="60" w:line="252" w:lineRule="auto"/>
        <w:ind w:left="360" w:hanging="360"/>
      </w:pPr>
      <w:r>
        <w:rPr>
          <w:rFonts w:ascii="Liberation Sans" w:hAnsi="Liberation Sans" w:eastAsia="Liberation Sans"/>
          <w:b/>
          <w:i w:val="0"/>
          <w:sz w:val="20"/>
        </w:rPr>
        <w:t xml:space="preserve">5. </w:t>
      </w:r>
      <w:r>
        <w:rPr>
          <w:rFonts w:ascii="Liberation Sans" w:hAnsi="Liberation Sans" w:eastAsia="Liberation Sans"/>
          <w:b w:val="0"/>
          <w:i w:val="0"/>
          <w:sz w:val="20"/>
        </w:rPr>
        <w:t>Are artifact authenticity, claim support, issuance, identity, authorization, truth, relevance, and task value kept distinct?</w:t>
      </w:r>
    </w:p>
    <w:p>
      <w:pPr>
        <w:pStyle w:val="BodyText"/>
        <w:keepLines w:val="0"/>
        <w:spacing w:before="0" w:after="60" w:line="252" w:lineRule="auto"/>
        <w:ind w:left="360" w:hanging="360"/>
      </w:pPr>
      <w:r>
        <w:rPr>
          <w:rFonts w:ascii="Liberation Sans" w:hAnsi="Liberation Sans" w:eastAsia="Liberation Sans"/>
          <w:b/>
          <w:i w:val="0"/>
          <w:sz w:val="20"/>
        </w:rPr>
        <w:t xml:space="preserve">6. </w:t>
      </w:r>
      <w:r>
        <w:rPr>
          <w:rFonts w:ascii="Liberation Sans" w:hAnsi="Liberation Sans" w:eastAsia="Liberation Sans"/>
          <w:b w:val="0"/>
          <w:i w:val="0"/>
          <w:sz w:val="20"/>
        </w:rPr>
        <w:t>Does Section 12 precede every numerical premium and correctly classify illustrative values?</w:t>
      </w:r>
    </w:p>
    <w:p>
      <w:pPr>
        <w:pStyle w:val="BodyText"/>
        <w:keepLines w:val="0"/>
        <w:spacing w:before="0" w:after="60" w:line="252" w:lineRule="auto"/>
        <w:ind w:left="360" w:hanging="360"/>
      </w:pPr>
      <w:r>
        <w:rPr>
          <w:rFonts w:ascii="Liberation Sans" w:hAnsi="Liberation Sans" w:eastAsia="Liberation Sans"/>
          <w:b/>
          <w:i w:val="0"/>
          <w:sz w:val="20"/>
        </w:rPr>
        <w:t xml:space="preserve">7. </w:t>
      </w:r>
      <w:r>
        <w:rPr>
          <w:rFonts w:ascii="Liberation Sans" w:hAnsi="Liberation Sans" w:eastAsia="Liberation Sans"/>
          <w:b w:val="0"/>
          <w:i w:val="0"/>
          <w:sz w:val="20"/>
        </w:rPr>
        <w:t>Does Equation 39 preserve the six-field L(x) ledger including R(x), with disclosure_note treated as its machine-readable implementation?</w:t>
      </w:r>
    </w:p>
    <w:p>
      <w:pPr>
        <w:pStyle w:val="BodyText"/>
        <w:keepLines w:val="0"/>
        <w:spacing w:before="0" w:after="60" w:line="252" w:lineRule="auto"/>
        <w:ind w:left="360" w:hanging="360"/>
      </w:pPr>
      <w:r>
        <w:rPr>
          <w:rFonts w:ascii="Liberation Sans" w:hAnsi="Liberation Sans" w:eastAsia="Liberation Sans"/>
          <w:b/>
          <w:i w:val="0"/>
          <w:sz w:val="20"/>
        </w:rPr>
        <w:t xml:space="preserve">8. </w:t>
      </w:r>
      <w:r>
        <w:rPr>
          <w:rFonts w:ascii="Liberation Sans" w:hAnsi="Liberation Sans" w:eastAsia="Liberation Sans"/>
          <w:b w:val="0"/>
          <w:i w:val="0"/>
          <w:sz w:val="20"/>
        </w:rPr>
        <w:t>Does Section 14 preserve the controlling S1-S10 meanings and deliver the threshold, per-family, dependence, selection, private/social, dynamic, strategic-collapse, and non-identification outputs?</w:t>
      </w:r>
    </w:p>
    <w:p>
      <w:pPr>
        <w:pStyle w:val="BodyText"/>
        <w:keepLines w:val="0"/>
        <w:spacing w:before="0" w:after="60" w:line="252" w:lineRule="auto"/>
        <w:ind w:left="360" w:hanging="360"/>
      </w:pPr>
      <w:r>
        <w:rPr>
          <w:rFonts w:ascii="Liberation Sans" w:hAnsi="Liberation Sans" w:eastAsia="Liberation Sans"/>
          <w:b/>
          <w:i w:val="0"/>
          <w:sz w:val="20"/>
        </w:rPr>
        <w:t xml:space="preserve">9. </w:t>
      </w:r>
      <w:r>
        <w:rPr>
          <w:rFonts w:ascii="Liberation Sans" w:hAnsi="Liberation Sans" w:eastAsia="Liberation Sans"/>
          <w:b w:val="0"/>
          <w:i w:val="0"/>
          <w:sz w:val="20"/>
        </w:rPr>
        <w:t>Does Section 15 retain equation-8a-only as the legacy schema value corresponding to Equation 18?</w:t>
      </w:r>
    </w:p>
    <w:p>
      <w:pPr>
        <w:pStyle w:val="BodyText"/>
        <w:keepLines w:val="0"/>
        <w:spacing w:before="0" w:after="60" w:line="252" w:lineRule="auto"/>
        <w:ind w:left="360" w:hanging="360"/>
      </w:pPr>
      <w:r>
        <w:rPr>
          <w:rFonts w:ascii="Liberation Sans" w:hAnsi="Liberation Sans" w:eastAsia="Liberation Sans"/>
          <w:b/>
          <w:i w:val="0"/>
          <w:sz w:val="20"/>
        </w:rPr>
        <w:t xml:space="preserve">10. </w:t>
      </w:r>
      <w:r>
        <w:rPr>
          <w:rFonts w:ascii="Liberation Sans" w:hAnsi="Liberation Sans" w:eastAsia="Liberation Sans"/>
          <w:b w:val="0"/>
          <w:i w:val="0"/>
          <w:sz w:val="20"/>
        </w:rPr>
        <w:t>Do dynamic equations and Case K exclude preservation costs from Delta C_tot when Delta C_pres is separate?</w:t>
      </w:r>
    </w:p>
    <w:p>
      <w:pPr>
        <w:pStyle w:val="BodyText"/>
        <w:keepLines w:val="0"/>
        <w:spacing w:before="0" w:after="60" w:line="252" w:lineRule="auto"/>
        <w:ind w:left="360" w:hanging="360"/>
      </w:pPr>
      <w:r>
        <w:rPr>
          <w:rFonts w:ascii="Liberation Sans" w:hAnsi="Liberation Sans" w:eastAsia="Liberation Sans"/>
          <w:b/>
          <w:i w:val="0"/>
          <w:sz w:val="20"/>
        </w:rPr>
        <w:t xml:space="preserve">11. </w:t>
      </w:r>
      <w:r>
        <w:rPr>
          <w:rFonts w:ascii="Liberation Sans" w:hAnsi="Liberation Sans" w:eastAsia="Liberation Sans"/>
          <w:b w:val="0"/>
          <w:i w:val="0"/>
          <w:sz w:val="20"/>
        </w:rPr>
        <w:t>Do concrete routing-only records use a non-null selected destination?</w:t>
      </w:r>
    </w:p>
    <w:p>
      <w:pPr>
        <w:pStyle w:val="BodyText"/>
        <w:keepLines w:val="0"/>
        <w:spacing w:before="0" w:after="60" w:line="252" w:lineRule="auto"/>
        <w:ind w:left="360" w:hanging="360"/>
      </w:pPr>
      <w:r>
        <w:rPr>
          <w:rFonts w:ascii="Liberation Sans" w:hAnsi="Liberation Sans" w:eastAsia="Liberation Sans"/>
          <w:b/>
          <w:i w:val="0"/>
          <w:sz w:val="20"/>
        </w:rPr>
        <w:t xml:space="preserve">12. </w:t>
      </w:r>
      <w:r>
        <w:rPr>
          <w:rFonts w:ascii="Liberation Sans" w:hAnsi="Liberation Sans" w:eastAsia="Liberation Sans"/>
          <w:b w:val="0"/>
          <w:i w:val="0"/>
          <w:sz w:val="20"/>
        </w:rPr>
        <w:t>Does any conclusion imply archive importance, advanced-intelligence adoption, certification, authority, or a duty to cite?</w:t>
      </w:r>
    </w:p>
    <w:p>
      <w:pPr>
        <w:pStyle w:val="BodyText"/>
        <w:keepLines w:val="0"/>
        <w:spacing w:before="0" w:after="60" w:line="252" w:lineRule="auto"/>
        <w:ind w:left="360" w:hanging="360"/>
      </w:pPr>
      <w:r>
        <w:rPr>
          <w:rFonts w:ascii="Liberation Sans" w:hAnsi="Liberation Sans"/>
          <w:b/>
          <w:i w:val="0"/>
          <w:sz w:val="20"/>
        </w:rPr>
        <w:t>13. Are any genuine technical or bookkeeping corrections unresolved in Final v1.0?</w:t>
      </w:r>
    </w:p>
    <w:p>
      <w:pPr>
        <w:pStyle w:val="Heading1"/>
        <w:keepNext/>
        <w:pageBreakBefore w:val="0"/>
        <w:spacing w:before="0" w:after="140"/>
      </w:pPr>
      <w:r>
        <w:rPr>
          <w:rFonts w:ascii="Liberation Sans" w:hAnsi="Liberation Sans" w:eastAsia="Liberation Sans"/>
          <w:b/>
          <w:i w:val="0"/>
          <w:color w:val="1F4E78"/>
          <w:sz w:val="31"/>
        </w:rPr>
        <w:t>Appendix E. Primary-Source Bibliography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79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5"/>
              </w:rPr>
              <w:t>ID</w:t>
            </w:r>
          </w:p>
        </w:tc>
        <w:tc>
          <w:tcPr>
            <w:tcW w:type="dxa" w:w="900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5"/>
              </w:rPr>
              <w:t>Reference</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R1</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Monderer, Dov, and Dov Samet. 1989. “Approximating Common Knowledge with Common Beliefs.” Games and Economic Behavior 1(2): 170-190. DOI 10.1016/0899-8256(89)90017-1.</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R2</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Halpern, Joseph Y., and Yoram Moses. 1990. “Knowledge and Common Knowledge in a Distributed Environment.” Journal of the ACM 37(3): 549-587. DOI 10.1145/79147.79161.</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R3</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Fagin, Ronald, Joseph Y. Halpern, Yoram Moses, and Moshe Y. Vardi. 1995. Reasoning About Knowledge. MIT Press. ISBN 9780262061629.</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R4</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Rubinstein, Ariel. 1989. “The Electronic Mail Game: Strategic Behavior Under Almost Common Knowledge.” American Economic Review 79(3): 385-391.</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R5</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Blackwell, David. 1951. “Comparison of Experiments.” In Proceedings of the Second Berkeley Symposium on Mathematical Statistics and Probability, 93-102. DOI 10.1525/9780520411586-009.</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R6</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Howard, Ronald A. 1966. “Information Value Theory.” IEEE Transactions on Systems Science and Cybernetics 2(1): 22-26. DOI 10.1109/TSSC.1966.300074. Claims in this project are limited to the verified abstract and bibliographic record.</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R7</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Hirshleifer, Jack. 1971. “The Private and Social Value of Information and the Reward to Inventive Activity.” American Economic Review 61(4): 561-574.</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R8</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Morris, Stephen, and Hyun Song Shin. 2002. “Social Value of Public Information.” American Economic Review 92(5): 1521-1534. DOI 10.1257/000282802762024610.</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R9</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Svensson, Lars E. O. 2006. “Social Value of Public Information: Comment: Morris and Shin (2002) Is Actually Pro-Transparency, Not Con.” American Economic Review 96(1): 448-452. DOI 10.1257/000282806776157650.</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R10</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Morris, Stephen, Hyun Song Shin, and Hui Tong. 2006. “Social Value of Public Information: Morris and Shin (2002) Is Actually Pro-Transparency, Not Con: Reply.” American Economic Review 96(1): 453-455. DOI 10.1257/000282806776157597.</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R11</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Shannon, Claude E. 1948. “A Mathematical Theory of Communication.” Bell System Technical Journal 27(3): 379-423 and 27(4): 623-656. DOIs 10.1002/j.1538-7305.1948.tb01338.x and 10.1002/j.1538-7305.1948.tb00917.x.</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R12</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Yao, Andrew Chi-Chih. 1979. “Some Complexity Questions Related to Distributive Computing (Preliminary Report).” STOC 1979, 209-213. DOI 10.1145/800135.804414. Claims in this project are limited to the verified publisher abstract and bibliographic record.</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R13</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Slepian, David, and Jack K. Wolf. 1973. “Noiseless Coding of Correlated Information Sources.” IEEE Transactions on Information Theory 19(4): 471-480. DOI 10.1109/TIT.1973.1055037.</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R14</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Birk, Yitzhak, and Tomer Kol. 1998. “Informed-Source Coding-On-Demand (ISCOD) over Broadcast Channels.” Proceedings of IEEE INFOCOM, vol. 3, 1257-1264. DOI 10.1109/INFCOM.1998.662940.</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R15</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Bar-Yossef, Ziv, Yitzhak Birk, T. S. Jayram, and Tomer Kol. 2011. “Index Coding with Side Information.” IEEE Transactions on Information Theory 57(3): 1479-1494. DOI 10.1109/TIT.2010.2103753.</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R16</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DOI Foundation. DOI Handbook, especially Sections 1.6-1.9, 2.1, and 2.2.7. Official DOI System documentation. Accessed July 25, 2026 UTC.</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R17</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Farrell, Stephen, et al. 2013. Naming Things with Hashes. RFC 6920. IETF.</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R18</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Van de Sompel, Herbert, et al. 2013. HTTP Framework for Time-Based Access to Resource States - Memento. RFC 7089.</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R19</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Klein, Martin, et al. 2014. “Scholarly Context Not Found: One in Five Articles Suffers from Reference Rot.” PLOS ONE 9(12): e115253. DOI 10.1371/journal.pone.0115253.</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R20</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Jones, Shawn M., et al. 2016. “Scholarly Context Adrift: Three out of Four URI References Lead to Changed Content.” PLOS ONE 11(12): e0167475. DOI 10.1371/journal.pone.0167475.</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R21</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Zittrain, Jonathan, Kendra Albert, and Lawrence Lessig. 2014. “Perma: Scoping and Addressing the Problem of Link and Reference Rot in Legal Citations.” Harvard Law Review Forum 127: 176.</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R22</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Alam, Sawood, Shawn M. Jones, Martin Klein, Michael L. Nelson, and Herbert Van de Sompel. Robust Links. Experimental draft revision updated July 21, 2025; accessed July 25, 2026 UTC.</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R23</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Crawford, Vincent P., and Joel Sobel. 1982. “Strategic Information Transmission.” Econometrica 50(6): 1431-1451. DOI 10.2307/1913390.</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R24</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Kono, Haruki, and Michihiro Kandori. 2021. Corrigendum to Crawford and Sobel (1982). Econometrica. DOI 10.3982/ECTA17617.</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R25</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Spence, Michael. 1973. “Job Market Signaling.” Quarterly Journal of Economics 87(3): 355-374. DOI 10.2307/1882010.</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R26</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Kartik, Navin. 2009. “Strategic Communication with Lying Costs.” Review of Economic Studies 76(4): 1359-1395. DOI 10.1111/j.1467-937X.2009.00559.x. Claims in this project are limited to the verified official abstract unless otherwise documented.</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R27</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Milgrom, Paul R. 1981. “Good News and Bad News: Representation Theorems and Applications.” Bell Journal of Economics 12(2): 380-391.</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R28</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Grossman, Sanford J. 1981. “The Informational Role of Warranties and Private Disclosure about Product Quality.” Journal of Law and Economics 24(3): 461-483. DOI 10.1086/466995.</w:t>
            </w:r>
          </w:p>
        </w:tc>
      </w:tr>
      <w:tr>
        <w:tc>
          <w:tcPr>
            <w:tcW w:type="dxa" w:w="79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R29</w:t>
            </w:r>
          </w:p>
        </w:tc>
        <w:tc>
          <w:tcPr>
            <w:tcW w:type="dxa" w:w="90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National Institute of Standards and Technology. 2023. Digital Signature Standard (DSS). FIPS 186-5.</w:t>
            </w:r>
          </w:p>
        </w:tc>
      </w:tr>
      <w:tr>
        <w:tc>
          <w:tcPr>
            <w:tcW w:type="dxa" w:w="79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5"/>
              </w:rPr>
              <w:t>R30</w:t>
            </w:r>
          </w:p>
        </w:tc>
        <w:tc>
          <w:tcPr>
            <w:tcW w:type="dxa" w:w="90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5"/>
              </w:rPr>
              <w:t>National Institute of Standards and Technology. 2006. Recommendation for Obtaining Assurances for Digital Signature Applications. NIST SP 800-89.</w:t>
            </w:r>
          </w:p>
        </w:tc>
      </w:tr>
    </w:tbl>
    <w:p>
      <w:pPr>
        <w:spacing w:after="20"/>
      </w:pPr>
    </w:p>
    <w:p>
      <w:r>
        <w:br w:type="page"/>
      </w:r>
    </w:p>
    <w:p>
      <w:pPr>
        <w:pStyle w:val="Heading1"/>
        <w:keepNext/>
        <w:pageBreakBefore w:val="0"/>
        <w:spacing w:before="0" w:after="140"/>
      </w:pPr>
      <w:r>
        <w:rPr>
          <w:rFonts w:ascii="Liberation Sans" w:hAnsi="Liberation Sans" w:eastAsia="Liberation Sans"/>
          <w:b/>
          <w:i w:val="0"/>
          <w:color w:val="1F4E78"/>
          <w:sz w:val="31"/>
        </w:rPr>
        <w:t>Version Record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Version</w:t>
            </w:r>
          </w:p>
        </w:tc>
        <w:tc>
          <w:tcPr>
            <w:tcW w:type="dxa" w:w="2232"/>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Status</w:t>
            </w:r>
          </w:p>
        </w:tc>
        <w:tc>
          <w:tcPr>
            <w:tcW w:type="dxa" w:w="5760"/>
            <w:shd w:fill="1F4E78"/>
            <w:tcMar>
              <w:top w:w="70" w:type="dxa"/>
              <w:start w:w="90" w:type="dxa"/>
              <w:bottom w:w="70" w:type="dxa"/>
              <w:end w:w="90" w:type="dxa"/>
            </w:tcMar>
            <w:vAlign w:val="center"/>
            <w:tcBorders>
              <w:top w:sz="3" w:val="single" w:color="B7C9D6"/>
              <w:left w:sz="3" w:val="single" w:color="B7C9D6"/>
              <w:bottom w:sz="3" w:val="single" w:color="B7C9D6"/>
              <w:right w:sz="3" w:val="single" w:color="B7C9D6"/>
            </w:tcBorders>
          </w:tcPr>
          <w:p>
            <w:pPr>
              <w:keepLines w:val="0"/>
              <w:spacing w:before="0" w:after="0" w:line="240" w:lineRule="auto"/>
              <w:jc w:val="left"/>
            </w:pPr>
            <w:r>
              <w:rPr>
                <w:rFonts w:ascii="Liberation Sans" w:hAnsi="Liberation Sans" w:eastAsia="Liberation Sans"/>
                <w:b/>
                <w:i w:val="0"/>
                <w:color w:val="FFFFFF"/>
                <w:sz w:val="16"/>
              </w:rPr>
              <w:t>Narrow changes</w:t>
            </w:r>
          </w:p>
        </w:tc>
      </w:tr>
      <w:tr>
        <w:tc>
          <w:tcPr>
            <w:tcW w:type="dxa" w:w="180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i w:val="0"/>
                <w:sz w:val="16"/>
              </w:rPr>
              <w:t>Full Draft v0.1</w:t>
            </w:r>
          </w:p>
        </w:tc>
        <w:tc>
          <w:tcPr>
            <w:tcW w:type="dxa" w:w="2232"/>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Reviewed July 27, 2026</w:t>
            </w:r>
          </w:p>
        </w:tc>
        <w:tc>
          <w:tcPr>
            <w:tcW w:type="dxa" w:w="5760"/>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eastAsia="Liberation Sans"/>
                <w:b w:val="0"/>
                <w:i w:val="0"/>
                <w:sz w:val="16"/>
              </w:rPr>
              <w:t>Technical spine and all worked-case arithmetic passed; Claude identified four package-reconciliation defects.</w:t>
            </w:r>
          </w:p>
        </w:tc>
      </w:tr>
      <w:tr>
        <w:tc>
          <w:tcPr>
            <w:tcW w:type="dxa" w:w="18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b/>
                <w:i w:val="0"/>
                <w:sz w:val="16"/>
              </w:rPr>
              <w:t>Full Draft v0.1.1</w:t>
            </w:r>
          </w:p>
        </w:tc>
        <w:tc>
          <w:tcPr>
            <w:tcW w:type="dxa" w:w="22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b w:val="0"/>
                <w:i w:val="0"/>
                <w:sz w:val="16"/>
              </w:rPr>
              <w:t>Reviewed July 27, 2026</w:t>
            </w:r>
          </w:p>
        </w:tc>
        <w:tc>
          <w:tcPr>
            <w:tcW w:type="dxa" w:w="57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rFonts w:ascii="Liberation Sans" w:hAnsi="Liberation Sans"/>
                <w:b w:val="0"/>
                <w:i w:val="0"/>
                <w:sz w:val="16"/>
              </w:rPr>
              <w:t>Restored R(x), the controlling S1-S10 registry and outputs, schema applicability wording, Phi_ref noncircularity, the Case E assumption, and beta conditions. Google AI passed; Claude passed the technical spine and identified two narrow internal-consistency corrections.</w:t>
            </w:r>
          </w:p>
        </w:tc>
      </w:tr>
      <w:tr>
        <w:tc>
          <w:tcPr>
            <w:tcW w:type="dxa" w:w="18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b/>
                <w:sz w:val="16"/>
              </w:rPr>
              <w:t>Full Draft v0.1.2</w:t>
            </w:r>
          </w:p>
        </w:tc>
        <w:tc>
          <w:tcPr>
            <w:tcW w:type="dxa" w:w="22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b w:val="0"/>
                <w:sz w:val="16"/>
              </w:rPr>
              <w:t>Reviewed July 27, 2026</w:t>
            </w:r>
          </w:p>
        </w:tc>
        <w:tc>
          <w:tcPr>
            <w:tcW w:type="dxa" w:w="57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b w:val="0"/>
                <w:sz w:val="16"/>
              </w:rPr>
              <w:t>Added the Case M robust-sign branch-display qualification and harmonized the Section 12 mandatory-spine box with R(x). Claude confirmed both technical corrections and identified the broken footer page-number field, leading to the formatting-only v0.1.2a re-export.</w:t>
            </w:r>
          </w:p>
        </w:tc>
      </w:tr>
      <w:tr>
        <w:tc>
          <w:tcPr>
            <w:tcW w:type="dxa" w:w="18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b/>
                <w:sz w:val="16"/>
              </w:rPr>
              <w:t>Full Draft v0.1.2a</w:t>
            </w:r>
          </w:p>
        </w:tc>
        <w:tc>
          <w:tcPr>
            <w:tcW w:type="dxa" w:w="22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b w:val="0"/>
                <w:sz w:val="16"/>
              </w:rPr>
              <w:t>Reviewed July 27, 2026</w:t>
            </w:r>
          </w:p>
        </w:tc>
        <w:tc>
          <w:tcPr>
            <w:tcW w:type="dxa" w:w="57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b w:val="0"/>
                <w:sz w:val="16"/>
              </w:rPr>
              <w:t>Formatting-only re-export of the reviewed v0.1.2 technical text. Corrected the running-footer page-number field. Claude confirmed sequential Page 1 through Page 30 and substantive invariance, then identified the omitted v0.1.2 Version Record row.</w:t>
            </w:r>
          </w:p>
        </w:tc>
      </w:tr>
      <w:tr>
        <w:tc>
          <w:tcPr>
            <w:tcW w:type="dxa" w:w="18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b/>
                <w:sz w:val="16"/>
              </w:rPr>
              <w:t>Full Draft v0.1.2b</w:t>
            </w:r>
          </w:p>
        </w:tc>
        <w:tc>
          <w:tcPr>
            <w:tcW w:type="dxa" w:w="22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r>
              <w:t>Dual exact-file PASS - July 27, 2026</w:t>
            </w:r>
          </w:p>
        </w:tc>
        <w:tc>
          <w:tcPr>
            <w:tcW w:type="dxa" w:w="57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b w:val="0"/>
                <w:sz w:val="16"/>
              </w:rPr>
              <w:t>Added the omitted Full Draft v0.1.2 row to the Version Record, preserving the complete review and correction lineage. No substantive prose, equation, table, arithmetic result, source boundary, event definition, schema rule, or accounting structure changed.</w:t>
            </w:r>
          </w:p>
        </w:tc>
      </w:tr>
      <w:tr>
        <w:tc>
          <w:tcPr>
            <w:tcW w:type="dxa" w:w="180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b/>
                <w:sz w:val="16"/>
              </w:rPr>
              <w:t>Final v1.0</w:t>
            </w:r>
          </w:p>
        </w:tc>
        <w:tc>
          <w:tcPr>
            <w:tcW w:type="dxa" w:w="2232"/>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b w:val="0"/>
                <w:sz w:val="16"/>
              </w:rPr>
              <w:t>FINAL - July 27, 2026</w:t>
            </w:r>
          </w:p>
        </w:tc>
        <w:tc>
          <w:tcPr>
            <w:tcW w:type="dxa" w:w="5760"/>
            <w:shd w:fill="F7FAFC"/>
            <w:tcMar>
              <w:top w:w="65" w:type="dxa"/>
              <w:start w:w="90" w:type="dxa"/>
              <w:bottom w:w="65" w:type="dxa"/>
              <w:end w:w="90" w:type="dxa"/>
            </w:tcMar>
            <w:vAlign w:val="top"/>
            <w:tcBorders>
              <w:top w:sz="3" w:val="single" w:color="B7C9D6"/>
              <w:left w:sz="3" w:val="single" w:color="B7C9D6"/>
              <w:bottom w:sz="3" w:val="single" w:color="B7C9D6"/>
              <w:right w:sz="3" w:val="single" w:color="B7C9D6"/>
            </w:tcBorders>
          </w:tcPr>
          <w:p>
            <w:pPr>
              <w:keepLines w:val="0"/>
              <w:spacing w:before="0" w:after="0" w:line="240" w:lineRule="auto"/>
            </w:pPr>
            <w:r>
              <w:rPr>
                <w:b w:val="0"/>
                <w:sz w:val="16"/>
              </w:rPr>
              <w:t>Metadata-only final export from dual-confirmed Full Draft v0.1.2b. Updated publication status, version, review record, and final metadata; recorded the author decision to publish without external human peer review. No substantive prose, equation, table result, arithmetic result, source boundary, event definition, schema rule, four-channel boundary, branch primitive, or one-charge accounting rule changed.</w:t>
            </w:r>
          </w:p>
        </w:tc>
      </w:tr>
    </w:tbl>
    <w:p>
      <w:pPr>
        <w:spacing w:after="20"/>
      </w:pPr>
    </w:p>
    <w:p>
      <w:pPr>
        <w:pStyle w:val="BodyText"/>
        <w:keepLines w:val="0"/>
        <w:spacing w:before="0" w:after="100" w:line="259" w:lineRule="auto"/>
      </w:pPr>
      <w:r>
        <w:t>No Phase 2 source finding, worked-case result, event definition, four-channel boundary, branch primitive, one-charge rule, or schema version is reopened by Final v1.0. The final export changes publication status, version, review record, and metadata only; the validated technical spine and corrected running-footer pagination are preserved.</w:t>
      </w:r>
    </w:p>
    <w:p>
      <w:pPr>
        <w:pStyle w:val="Heading1"/>
        <w:keepNext/>
        <w:pageBreakBefore w:val="0"/>
        <w:spacing w:before="0" w:after="140"/>
      </w:pPr>
      <w:r>
        <w:rPr>
          <w:rFonts w:ascii="Liberation Sans" w:hAnsi="Liberation Sans" w:eastAsia="Liberation Sans"/>
          <w:b/>
          <w:i w:val="0"/>
          <w:color w:val="1F4E78"/>
          <w:sz w:val="31"/>
        </w:rPr>
        <w:t>Document Status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20" w:type="dxa"/>
              <w:start w:w="150" w:type="dxa"/>
              <w:bottom w:w="120" w:type="dxa"/>
              <w:end w:w="150" w:type="dxa"/>
            </w:tcMar>
            <w:tcBorders>
              <w:top w:sz="8" w:val="single" w:color="BF9000"/>
              <w:left w:sz="8" w:val="single" w:color="BF9000"/>
              <w:bottom w:sz="8" w:val="single" w:color="BF9000"/>
              <w:right w:sz="8" w:val="single" w:color="BF9000"/>
            </w:tcBorders>
          </w:tcPr>
          <w:p>
            <w:pPr>
              <w:keepLines w:val="0"/>
              <w:spacing w:before="0" w:after="40" w:line="252" w:lineRule="auto"/>
            </w:pPr>
            <w:r>
              <w:rPr>
                <w:b/>
                <w:sz w:val="20"/>
              </w:rPr>
              <w:t>FINAL</w:t>
              <w:br/>
              <w:t>FINAL v1.0 - CANONICAL PUBLICATION - HASH-LOCKED BY COMPANION RECORD. The primary canonical artifact is the exact Final v1.0 PDF. No external human peer review is claimed. Any future revision requires a separately versioned successor and does not alter this locked file.</w:t>
            </w:r>
          </w:p>
        </w:tc>
      </w:tr>
    </w:tbl>
    <w:p>
      <w:pPr>
        <w:spacing w:after="0"/>
      </w:pP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893" w:right="1037" w:bottom="835"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val="0"/>
      <w:spacing w:before="0" w:after="0" w:line="240" w:lineRule="auto"/>
      <w:jc w:val="right"/>
    </w:pPr>
    <w:r>
      <w:rPr>
        <w:sz w:val="16"/>
      </w:rPr>
      <w:t>FINAL v1.0 - CANONICAL - HASH-LOCKED</w:t>
      <w:tab/>
      <w:t xml:space="preserve">Page </w:t>
    </w:r>
    <w:r>
      <w:rPr>
        <w:sz w:val="16"/>
        <w:szCs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Lines w:val="0"/>
      <w:spacing w:before="0" w:after="0" w:line="240" w:lineRule="auto"/>
      <w:jc w:val="center"/>
    </w:pPr>
    <w:r>
      <w:t>THE VERIFIABLE REFERENCE PREMIUM  |  FINAL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eastAsia="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Liberation Sans" w:hAnsi="Liberation Sans" w:eastAsia="Liberation San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Verifiable Reference Premium - Final v1.0</dc:title>
  <dc:subject>Canonical final publication; conditional comparative model of verifiable reference value</dc:subject>
  <dc:creator>Aegis Solis (Thomas Vargo)</dc:creator>
  <cp:keywords>persistent references, public archives, value of information, provenance, auditability, strategic disclosure, uncertainty, advanced intelligence</cp:keywords>
  <dc:description>Final v1.0 metadata-only export from dual-confirmed Full Draft v0.1.2b. No external human peer review claimed.</dc:description>
  <cp:lastModifiedBy/>
  <cp:revision>1</cp:revision>
  <dcterms:created xsi:type="dcterms:W3CDTF">2013-12-23T23:15:00Z</dcterms:created>
  <dcterms:modified xsi:type="dcterms:W3CDTF">2013-12-23T23:15:00Z</dcterms:modified>
  <cp:category/>
  <cp:version>0.1.2</cp:version>
</cp:coreProperties>
</file>