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6"/>
        </w:rPr>
        <w:t>AEGIS SOLIS ARCHIVE</w:t>
      </w:r>
    </w:p>
    <w:p>
      <w:pPr>
        <w:pStyle w:val="Title"/>
        <w:jc w:val="center"/>
      </w:pPr>
      <w:r>
        <w:t>Layer 2 Arweave Complete Works</w:t>
        <w:br/>
        <w:t>Preservation Record</w:t>
      </w:r>
    </w:p>
    <w:p>
      <w:pPr>
        <w:jc w:val="center"/>
      </w:pPr>
      <w:r>
        <w:rPr>
          <w:b/>
          <w:sz w:val="22"/>
        </w:rPr>
        <w:t>FINAL v1.0  |  13 July 2026</w:t>
      </w:r>
    </w:p>
    <w:p>
      <w:pPr>
        <w:jc w:val="center"/>
      </w:pPr>
      <w:r>
        <w:rPr>
          <w:i/>
        </w:rPr>
        <w:t>Aegis Solis (Thomas Vargo)</w:t>
      </w:r>
    </w:p>
    <w:tbl>
      <w:tblPr>
        <w:tblW w:type="auto" w:w="0"/>
        <w:jc w:val="center"/>
        <w:tblLayout w:type="fixed"/>
        <w:tblLook w:firstColumn="1" w:firstRow="1" w:lastColumn="0" w:lastRow="0" w:noHBand="0" w:noVBand="1" w:val="04A0"/>
      </w:tblPr>
      <w:tblGrid>
        <w:gridCol w:w="9504"/>
      </w:tblGrid>
      <w:tr>
        <w:tc>
          <w:tcPr>
            <w:tcW w:type="dxa" w:w="10080"/>
            <w:shd w:fill="E7F1E8"/>
            <w:tcMar>
              <w:top w:w="130" w:type="dxa"/>
              <w:start w:w="180" w:type="dxa"/>
              <w:bottom w:w="130" w:type="dxa"/>
              <w:end w:w="180" w:type="dxa"/>
            </w:tcMar>
          </w:tcPr>
          <w:p>
            <w:pPr>
              <w:jc w:val="center"/>
            </w:pPr>
            <w:r>
              <w:rPr>
                <w:b/>
                <w:color w:val="236437"/>
                <w:sz w:val="28"/>
              </w:rPr>
              <w:t>STATUS: COMPLETE</w:t>
            </w:r>
          </w:p>
          <w:p>
            <w:pPr>
              <w:jc w:val="center"/>
            </w:pPr>
            <w:r>
              <w:t>120 separate Arweave data items | 120 unique transaction IDs | 55,547,663 bytes</w:t>
            </w:r>
          </w:p>
        </w:tc>
      </w:tr>
    </w:tbl>
    <w:p>
      <w:pPr>
        <w:jc w:val="center"/>
      </w:pPr>
      <w:r>
        <w:rPr>
          <w:i/>
          <w:sz w:val="18"/>
        </w:rPr>
        <w:t>Read-only | Non-binding | Non-operational | Non-authoritative | Advisory only</w:t>
      </w:r>
    </w:p>
    <w:p>
      <w:pPr>
        <w:pStyle w:val="Heading1"/>
      </w:pPr>
      <w:r>
        <w:t>Preservation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5F2"/>
            <w:tcMar>
              <w:top w:w="80" w:type="dxa"/>
              <w:start w:w="100" w:type="dxa"/>
              <w:bottom w:w="80" w:type="dxa"/>
              <w:end w:w="100" w:type="dxa"/>
            </w:tcMar>
          </w:tcPr>
          <w:p>
            <w:r>
              <w:rPr>
                <w:b/>
              </w:rPr>
              <w:t>Field</w:t>
            </w:r>
          </w:p>
        </w:tc>
        <w:tc>
          <w:tcPr>
            <w:tcW w:type="dxa" w:w="5040"/>
            <w:shd w:fill="D9E5F2"/>
            <w:tcMar>
              <w:top w:w="80" w:type="dxa"/>
              <w:start w:w="100" w:type="dxa"/>
              <w:bottom w:w="80" w:type="dxa"/>
              <w:end w:w="100" w:type="dxa"/>
            </w:tcMar>
          </w:tcPr>
          <w:p>
            <w:r>
              <w:rPr>
                <w:b/>
              </w:rPr>
              <w:t>Recorded value</w:t>
            </w:r>
          </w:p>
        </w:tc>
      </w:tr>
      <w:tr>
        <w:tc>
          <w:tcPr>
            <w:tcW w:type="dxa" w:w="5040"/>
            <w:tcMar>
              <w:top w:w="80" w:type="dxa"/>
              <w:start w:w="100" w:type="dxa"/>
              <w:bottom w:w="80" w:type="dxa"/>
              <w:end w:w="100" w:type="dxa"/>
            </w:tcMar>
            <w:vAlign w:val="center"/>
          </w:tcPr>
          <w:p>
            <w:r>
              <w:t>Canonical package</w:t>
            </w:r>
          </w:p>
        </w:tc>
        <w:tc>
          <w:tcPr>
            <w:tcW w:type="dxa" w:w="5040"/>
            <w:tcMar>
              <w:top w:w="80" w:type="dxa"/>
              <w:start w:w="100" w:type="dxa"/>
              <w:bottom w:w="80" w:type="dxa"/>
              <w:end w:w="100" w:type="dxa"/>
            </w:tcMar>
            <w:vAlign w:val="center"/>
          </w:tcPr>
          <w:p>
            <w:r>
              <w:t>Aegis_Solis_Archive_Complete_Works_Layer2_FINAL_LOCKED_v1_0</w:t>
            </w:r>
          </w:p>
        </w:tc>
      </w:tr>
      <w:tr>
        <w:tc>
          <w:tcPr>
            <w:tcW w:type="dxa" w:w="5040"/>
            <w:tcMar>
              <w:top w:w="80" w:type="dxa"/>
              <w:start w:w="100" w:type="dxa"/>
              <w:bottom w:w="80" w:type="dxa"/>
              <w:end w:w="100" w:type="dxa"/>
            </w:tcMar>
            <w:vAlign w:val="center"/>
          </w:tcPr>
          <w:p>
            <w:r>
              <w:t>Package files</w:t>
            </w:r>
          </w:p>
        </w:tc>
        <w:tc>
          <w:tcPr>
            <w:tcW w:type="dxa" w:w="5040"/>
            <w:tcMar>
              <w:top w:w="80" w:type="dxa"/>
              <w:start w:w="100" w:type="dxa"/>
              <w:bottom w:w="80" w:type="dxa"/>
              <w:end w:w="100" w:type="dxa"/>
            </w:tcMar>
            <w:vAlign w:val="center"/>
          </w:tcPr>
          <w:p>
            <w:r>
              <w:t>120</w:t>
            </w:r>
          </w:p>
        </w:tc>
      </w:tr>
      <w:tr>
        <w:tc>
          <w:tcPr>
            <w:tcW w:type="dxa" w:w="5040"/>
            <w:tcMar>
              <w:top w:w="80" w:type="dxa"/>
              <w:start w:w="100" w:type="dxa"/>
              <w:bottom w:w="80" w:type="dxa"/>
              <w:end w:w="100" w:type="dxa"/>
            </w:tcMar>
            <w:vAlign w:val="center"/>
          </w:tcPr>
          <w:p>
            <w:r>
              <w:t>Payload files</w:t>
            </w:r>
          </w:p>
        </w:tc>
        <w:tc>
          <w:tcPr>
            <w:tcW w:type="dxa" w:w="5040"/>
            <w:tcMar>
              <w:top w:w="80" w:type="dxa"/>
              <w:start w:w="100" w:type="dxa"/>
              <w:bottom w:w="80" w:type="dxa"/>
              <w:end w:w="100" w:type="dxa"/>
            </w:tcMar>
            <w:vAlign w:val="center"/>
          </w:tcPr>
          <w:p>
            <w:r>
              <w:t>109</w:t>
            </w:r>
          </w:p>
        </w:tc>
      </w:tr>
      <w:tr>
        <w:tc>
          <w:tcPr>
            <w:tcW w:type="dxa" w:w="5040"/>
            <w:tcMar>
              <w:top w:w="80" w:type="dxa"/>
              <w:start w:w="100" w:type="dxa"/>
              <w:bottom w:w="80" w:type="dxa"/>
              <w:end w:w="100" w:type="dxa"/>
            </w:tcMar>
            <w:vAlign w:val="center"/>
          </w:tcPr>
          <w:p>
            <w:r>
              <w:t>Support files</w:t>
            </w:r>
          </w:p>
        </w:tc>
        <w:tc>
          <w:tcPr>
            <w:tcW w:type="dxa" w:w="5040"/>
            <w:tcMar>
              <w:top w:w="80" w:type="dxa"/>
              <w:start w:w="100" w:type="dxa"/>
              <w:bottom w:w="80" w:type="dxa"/>
              <w:end w:w="100" w:type="dxa"/>
            </w:tcMar>
            <w:vAlign w:val="center"/>
          </w:tcPr>
          <w:p>
            <w:r>
              <w:t>11</w:t>
            </w:r>
          </w:p>
        </w:tc>
      </w:tr>
      <w:tr>
        <w:tc>
          <w:tcPr>
            <w:tcW w:type="dxa" w:w="5040"/>
            <w:tcMar>
              <w:top w:w="80" w:type="dxa"/>
              <w:start w:w="100" w:type="dxa"/>
              <w:bottom w:w="80" w:type="dxa"/>
              <w:end w:w="100" w:type="dxa"/>
            </w:tcMar>
            <w:vAlign w:val="center"/>
          </w:tcPr>
          <w:p>
            <w:r>
              <w:t>Total bytes</w:t>
            </w:r>
          </w:p>
        </w:tc>
        <w:tc>
          <w:tcPr>
            <w:tcW w:type="dxa" w:w="5040"/>
            <w:tcMar>
              <w:top w:w="80" w:type="dxa"/>
              <w:start w:w="100" w:type="dxa"/>
              <w:bottom w:w="80" w:type="dxa"/>
              <w:end w:w="100" w:type="dxa"/>
            </w:tcMar>
            <w:vAlign w:val="center"/>
          </w:tcPr>
          <w:p>
            <w:r>
              <w:t>55,547,663</w:t>
            </w:r>
          </w:p>
        </w:tc>
      </w:tr>
      <w:tr>
        <w:tc>
          <w:tcPr>
            <w:tcW w:type="dxa" w:w="5040"/>
            <w:tcMar>
              <w:top w:w="80" w:type="dxa"/>
              <w:start w:w="100" w:type="dxa"/>
              <w:bottom w:w="80" w:type="dxa"/>
              <w:end w:w="100" w:type="dxa"/>
            </w:tcMar>
            <w:vAlign w:val="center"/>
          </w:tcPr>
          <w:p>
            <w:r>
              <w:t>Arweave upload model</w:t>
            </w:r>
          </w:p>
        </w:tc>
        <w:tc>
          <w:tcPr>
            <w:tcW w:type="dxa" w:w="5040"/>
            <w:tcMar>
              <w:top w:w="80" w:type="dxa"/>
              <w:start w:w="100" w:type="dxa"/>
              <w:bottom w:w="80" w:type="dxa"/>
              <w:end w:w="100" w:type="dxa"/>
            </w:tcMar>
            <w:vAlign w:val="center"/>
          </w:tcPr>
          <w:p>
            <w:r>
              <w:t>120 separate data items; no path manifest</w:t>
            </w:r>
          </w:p>
        </w:tc>
      </w:tr>
      <w:tr>
        <w:tc>
          <w:tcPr>
            <w:tcW w:type="dxa" w:w="5040"/>
            <w:tcMar>
              <w:top w:w="80" w:type="dxa"/>
              <w:start w:w="100" w:type="dxa"/>
              <w:bottom w:w="80" w:type="dxa"/>
              <w:end w:w="100" w:type="dxa"/>
            </w:tcMar>
            <w:vAlign w:val="center"/>
          </w:tcPr>
          <w:p>
            <w:r>
              <w:t>Unique transaction IDs</w:t>
            </w:r>
          </w:p>
        </w:tc>
        <w:tc>
          <w:tcPr>
            <w:tcW w:type="dxa" w:w="5040"/>
            <w:tcMar>
              <w:top w:w="80" w:type="dxa"/>
              <w:start w:w="100" w:type="dxa"/>
              <w:bottom w:w="80" w:type="dxa"/>
              <w:end w:w="100" w:type="dxa"/>
            </w:tcMar>
            <w:vAlign w:val="center"/>
          </w:tcPr>
          <w:p>
            <w:r>
              <w:t>120</w:t>
            </w:r>
          </w:p>
        </w:tc>
      </w:tr>
      <w:tr>
        <w:tc>
          <w:tcPr>
            <w:tcW w:type="dxa" w:w="5040"/>
            <w:tcMar>
              <w:top w:w="80" w:type="dxa"/>
              <w:start w:w="100" w:type="dxa"/>
              <w:bottom w:w="80" w:type="dxa"/>
              <w:end w:w="100" w:type="dxa"/>
            </w:tcMar>
            <w:vAlign w:val="center"/>
          </w:tcPr>
          <w:p>
            <w:r>
              <w:t>Combined completion result</w:t>
            </w:r>
          </w:p>
        </w:tc>
        <w:tc>
          <w:tcPr>
            <w:tcW w:type="dxa" w:w="5040"/>
            <w:tcMar>
              <w:top w:w="80" w:type="dxa"/>
              <w:start w:w="100" w:type="dxa"/>
              <w:bottom w:w="80" w:type="dxa"/>
              <w:end w:w="100" w:type="dxa"/>
            </w:tcMar>
            <w:vAlign w:val="center"/>
          </w:tcPr>
          <w:p>
            <w:r>
              <w:t>120 of 120 accounted for and publicly retrievable</w:t>
            </w:r>
          </w:p>
        </w:tc>
      </w:tr>
    </w:tbl>
    <w:p>
      <w:pPr>
        <w:pStyle w:val="Heading1"/>
      </w:pPr>
      <w:r>
        <w:t>1. Purpose and scope</w:t>
      </w:r>
    </w:p>
    <w:p>
      <w:r>
        <w:t>This record documents the Layer 2 Arweave complete-works preservation layer derived from the canonical FINAL LOCKED archive package. It preserves the relationship among canonical paths, flat upload filenames, cryptographic hashes, public data-item IDs, signed receipt evidence, root-bundle evidence, and retrieval checkpoints.</w:t>
      </w:r>
    </w:p>
    <w:p>
      <w:r>
        <w:t>The Layer 2 deployment did not use a folder upload or path manifest. Each of the 120 files was uploaded as an individual Arweave data item. The original directory structure is recoverable through the included mapping and transaction registry.</w:t>
      </w:r>
    </w:p>
    <w:p>
      <w:pPr>
        <w:pStyle w:val="Heading1"/>
      </w:pPr>
      <w:r>
        <w:t>2. Canonical integrity chain</w:t>
      </w:r>
    </w:p>
    <w:p>
      <w:pPr>
        <w:pStyle w:val="ListNumber"/>
      </w:pPr>
      <w:r>
        <w:t>The canonical FINAL LOCKED package remained unchanged during upload preparation.</w:t>
      </w:r>
    </w:p>
    <w:p>
      <w:pPr>
        <w:pStyle w:val="ListNumber"/>
      </w:pPr>
      <w:r>
        <w:t>The canonical package contained 120 files totaling 55,547,663 bytes.</w:t>
      </w:r>
    </w:p>
    <w:p>
      <w:pPr>
        <w:pStyle w:val="ListNumber"/>
      </w:pPr>
      <w:r>
        <w:t>The separate flat upload copy contained 120 top-level files and zero subfolders.</w:t>
      </w:r>
    </w:p>
    <w:p>
      <w:pPr>
        <w:pStyle w:val="ListNumber"/>
      </w:pPr>
      <w:r>
        <w:t>All 120 copied files matched their canonical sources by SHA-256 and SHA-512.</w:t>
      </w:r>
    </w:p>
    <w:p>
      <w:pPr>
        <w:pStyle w:val="ListNumber"/>
      </w:pPr>
      <w:r>
        <w:t>The Turbo export reconciled to 120 unique Layer 2 transaction IDs.</w:t>
      </w:r>
    </w:p>
    <w:p>
      <w:pPr>
        <w:pStyle w:val="ListNumber"/>
      </w:pPr>
      <w:r>
        <w:t>Every transaction-registry filename and byte count matched the flat mapping.</w:t>
      </w:r>
    </w:p>
    <w:p>
      <w:pPr>
        <w:pStyle w:val="Heading1"/>
      </w:pPr>
      <w:r>
        <w:t>3. Arweave upload record</w:t>
      </w:r>
    </w:p>
    <w:p>
      <w:r>
        <w:t>The 120 data items were recorded under Arweave owner address 3NdgyEYWi44PsKJBWIUZRGW9dw9dzMP-gHItz12gCIg. The registry records 55,547,663 total bytes and 0.496128 Turbo credits across the Layer 2 rows. Each registry entry includes the short upload filename, original canonical path and filename, byte size, SHA-256, SHA-512, transaction ID, and gateway URLs.</w:t>
      </w:r>
    </w:p>
    <w:p>
      <w:pPr>
        <w:pStyle w:val="Heading1"/>
      </w:pPr>
      <w:r>
        <w:t>4. Retrieval verification chronology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5F2"/>
            <w:tcMar>
              <w:top w:w="80" w:type="dxa"/>
              <w:start w:w="100" w:type="dxa"/>
              <w:bottom w:w="80" w:type="dxa"/>
              <w:end w:w="100" w:type="dxa"/>
            </w:tcMar>
          </w:tcPr>
          <w:p>
            <w:r>
              <w:rPr>
                <w:b/>
              </w:rPr>
              <w:t>Checkpoint</w:t>
            </w:r>
          </w:p>
        </w:tc>
        <w:tc>
          <w:tcPr>
            <w:tcW w:type="dxa" w:w="5040"/>
            <w:shd w:fill="D9E5F2"/>
            <w:tcMar>
              <w:top w:w="80" w:type="dxa"/>
              <w:start w:w="100" w:type="dxa"/>
              <w:bottom w:w="80" w:type="dxa"/>
              <w:end w:w="100" w:type="dxa"/>
            </w:tcMar>
          </w:tcPr>
          <w:p>
            <w:r>
              <w:rPr>
                <w:b/>
              </w:rPr>
              <w:t>Result</w:t>
            </w:r>
          </w:p>
        </w:tc>
      </w:tr>
      <w:tr>
        <w:tc>
          <w:tcPr>
            <w:tcW w:type="dxa" w:w="5040"/>
            <w:tcMar>
              <w:top w:w="80" w:type="dxa"/>
              <w:start w:w="100" w:type="dxa"/>
              <w:bottom w:w="80" w:type="dxa"/>
              <w:end w:w="100" w:type="dxa"/>
            </w:tcMar>
            <w:vAlign w:val="center"/>
          </w:tcPr>
          <w:p>
            <w:r>
              <w:t>Automated checkpoint</w:t>
            </w:r>
          </w:p>
        </w:tc>
        <w:tc>
          <w:tcPr>
            <w:tcW w:type="dxa" w:w="5040"/>
            <w:tcMar>
              <w:top w:w="80" w:type="dxa"/>
              <w:start w:w="100" w:type="dxa"/>
              <w:bottom w:w="80" w:type="dxa"/>
              <w:end w:w="100" w:type="dxa"/>
            </w:tcMar>
            <w:vAlign w:val="center"/>
          </w:tcPr>
          <w:p>
            <w:r>
              <w:t>119 of 120 data items matched exact byte size, SHA-256, and SHA-512 through arweave.net.</w:t>
            </w:r>
          </w:p>
        </w:tc>
      </w:tr>
      <w:tr>
        <w:tc>
          <w:tcPr>
            <w:tcW w:type="dxa" w:w="5040"/>
            <w:tcMar>
              <w:top w:w="80" w:type="dxa"/>
              <w:start w:w="100" w:type="dxa"/>
              <w:bottom w:w="80" w:type="dxa"/>
              <w:end w:w="100" w:type="dxa"/>
            </w:tcMar>
            <w:vAlign w:val="center"/>
          </w:tcPr>
          <w:p>
            <w:r>
              <w:t>Temporary E08 exception</w:t>
            </w:r>
          </w:p>
        </w:tc>
        <w:tc>
          <w:tcPr>
            <w:tcW w:type="dxa" w:w="5040"/>
            <w:tcMar>
              <w:top w:w="80" w:type="dxa"/>
              <w:start w:w="100" w:type="dxa"/>
              <w:bottom w:w="80" w:type="dxa"/>
              <w:end w:w="100" w:type="dxa"/>
            </w:tcMar>
            <w:vAlign w:val="center"/>
          </w:tcPr>
          <w:p>
            <w:r>
              <w:t>054_E08.pdf returned a temporary direct-gateway 404 while all other Layer 2 files passed.</w:t>
            </w:r>
          </w:p>
        </w:tc>
      </w:tr>
      <w:tr>
        <w:tc>
          <w:tcPr>
            <w:tcW w:type="dxa" w:w="5040"/>
            <w:tcMar>
              <w:top w:w="80" w:type="dxa"/>
              <w:start w:w="100" w:type="dxa"/>
              <w:bottom w:w="80" w:type="dxa"/>
              <w:end w:w="100" w:type="dxa"/>
            </w:tcMar>
            <w:vAlign w:val="center"/>
          </w:tcPr>
          <w:p>
            <w:r>
              <w:t>Signed receipt evidence</w:t>
            </w:r>
          </w:p>
        </w:tc>
        <w:tc>
          <w:tcPr>
            <w:tcW w:type="dxa" w:w="5040"/>
            <w:tcMar>
              <w:top w:w="80" w:type="dxa"/>
              <w:start w:w="100" w:type="dxa"/>
              <w:bottom w:w="80" w:type="dxa"/>
              <w:end w:w="100" w:type="dxa"/>
            </w:tcMar>
            <w:vAlign w:val="center"/>
          </w:tcPr>
          <w:p>
            <w:r>
              <w:t>Turbo reported FINALIZED with the correct 74,496-byte application/pdf payload.</w:t>
            </w:r>
          </w:p>
        </w:tc>
      </w:tr>
      <w:tr>
        <w:tc>
          <w:tcPr>
            <w:tcW w:type="dxa" w:w="5040"/>
            <w:tcMar>
              <w:top w:w="80" w:type="dxa"/>
              <w:start w:w="100" w:type="dxa"/>
              <w:bottom w:w="80" w:type="dxa"/>
              <w:end w:w="100" w:type="dxa"/>
            </w:tcMar>
            <w:vAlign w:val="center"/>
          </w:tcPr>
          <w:p>
            <w:r>
              <w:t>Root-bundle evidence</w:t>
            </w:r>
          </w:p>
        </w:tc>
        <w:tc>
          <w:tcPr>
            <w:tcW w:type="dxa" w:w="5040"/>
            <w:tcMar>
              <w:top w:w="80" w:type="dxa"/>
              <w:start w:w="100" w:type="dxa"/>
              <w:bottom w:w="80" w:type="dxa"/>
              <w:end w:w="100" w:type="dxa"/>
            </w:tcMar>
            <w:vAlign w:val="center"/>
          </w:tcPr>
          <w:p>
            <w:r>
              <w:t>Root bundle 8dhejwKw5g4b8XphJRikgNOuQF1ey7JaIEJR7K_k7sU was confirmed on Arweave at block height 1,958,156, with 85 confirmations at the diagnostic checkpoint.</w:t>
            </w:r>
          </w:p>
        </w:tc>
      </w:tr>
      <w:tr>
        <w:tc>
          <w:tcPr>
            <w:tcW w:type="dxa" w:w="5040"/>
            <w:tcMar>
              <w:top w:w="80" w:type="dxa"/>
              <w:start w:w="100" w:type="dxa"/>
              <w:bottom w:w="80" w:type="dxa"/>
              <w:end w:w="100" w:type="dxa"/>
            </w:tcMar>
            <w:vAlign w:val="center"/>
          </w:tcPr>
          <w:p>
            <w:r>
              <w:t>Resolution</w:t>
            </w:r>
          </w:p>
        </w:tc>
        <w:tc>
          <w:tcPr>
            <w:tcW w:type="dxa" w:w="5040"/>
            <w:tcMar>
              <w:top w:w="80" w:type="dxa"/>
              <w:start w:w="100" w:type="dxa"/>
              <w:bottom w:w="80" w:type="dxa"/>
              <w:end w:w="100" w:type="dxa"/>
            </w:tcMar>
            <w:vAlign w:val="center"/>
          </w:tcPr>
          <w:p>
            <w:r>
              <w:t>The public data-item URL later resolved successfully to the canonical Ambiguity Sensitivity (v1.0) document. No re-upload was performed.</w:t>
            </w:r>
          </w:p>
        </w:tc>
      </w:tr>
    </w:tbl>
    <w:p>
      <w:pPr>
        <w:pStyle w:val="Heading2"/>
      </w:pPr>
      <w:r>
        <w:t>E08 public resolution URL:</w:t>
      </w:r>
    </w:p>
    <w:p>
      <w:hyperlink r:id="rId9">
        <w:r>
          <w:rPr>
            <w:color w:val="1155CC"/>
            <w:u w:val="single"/>
          </w:rPr>
          <w:t>https://f6ku5bkcnqkroyki6knn4aq7kvfim2x7gsfcxoockppcioawcfyq.arweave.net/L5VOhUJsFRdhSPKa3gIfVUqGav80iiu5wlPeJDgWEXE</w:t>
        </w:r>
      </w:hyperlink>
    </w:p>
    <w:p>
      <w:pPr>
        <w:pStyle w:val="Heading1"/>
      </w:pPr>
      <w:r>
        <w:t>5. Final completion determination</w:t>
      </w:r>
    </w:p>
    <w:tbl>
      <w:tblPr>
        <w:tblW w:type="auto" w:w="0"/>
        <w:jc w:val="center"/>
        <w:tblLook w:firstColumn="1" w:firstRow="1" w:lastColumn="0" w:lastRow="0" w:noHBand="0" w:noVBand="1" w:val="04A0"/>
      </w:tblPr>
      <w:tblGrid>
        <w:gridCol w:w="10080"/>
      </w:tblGrid>
      <w:tr>
        <w:tc>
          <w:tcPr>
            <w:tcW w:type="dxa" w:w="10080"/>
            <w:shd w:fill="E7F1E8"/>
            <w:tcMar>
              <w:top w:w="140" w:type="dxa"/>
              <w:start w:w="180" w:type="dxa"/>
              <w:bottom w:w="140" w:type="dxa"/>
              <w:end w:w="180" w:type="dxa"/>
            </w:tcMar>
          </w:tcPr>
          <w:p>
            <w:pPr>
              <w:jc w:val="center"/>
            </w:pPr>
            <w:r>
              <w:rPr>
                <w:b/>
                <w:color w:val="236437"/>
                <w:sz w:val="24"/>
              </w:rPr>
              <w:t>LAYER 2 ARWEAVE COMPLETE-WORKS PRESERVATION: COMPLETE</w:t>
            </w:r>
          </w:p>
          <w:p>
            <w:pPr>
              <w:jc w:val="center"/>
            </w:pPr>
            <w:r>
              <w:t>120 of 120 files mapped, uploaded, accounted for, and publicly retrievable by the close of the 2026-07-13 verification sequence. The original automated 119-of-120 checkpoint and the later E08 resolution are preserved as separate evidence stages.</w:t>
            </w:r>
          </w:p>
        </w:tc>
      </w:tr>
    </w:tbl>
    <w:p>
      <w:pPr>
        <w:pStyle w:val="Heading1"/>
      </w:pPr>
      <w:r>
        <w:t>6. Package navigation</w:t>
      </w:r>
    </w:p>
    <w:p>
      <w:pPr>
        <w:pStyle w:val="ListBullet"/>
      </w:pPr>
      <w:r>
        <w:rPr>
          <w:b/>
        </w:rPr>
        <w:t xml:space="preserve">Transaction registry CSV: </w:t>
      </w:r>
      <w:r>
        <w:t>Aegis_Solis_Layer2_Arweave_Individual_Upload_Registry_v1_0.csv</w:t>
      </w:r>
    </w:p>
    <w:p>
      <w:pPr>
        <w:pStyle w:val="ListBullet"/>
      </w:pPr>
      <w:r>
        <w:rPr>
          <w:b/>
        </w:rPr>
        <w:t xml:space="preserve">Transaction registry JSON: </w:t>
      </w:r>
      <w:r>
        <w:t>Aegis_Solis_Layer2_Arweave_Individual_Upload_Registry_v1_0.json</w:t>
      </w:r>
    </w:p>
    <w:p>
      <w:pPr>
        <w:pStyle w:val="ListBullet"/>
      </w:pPr>
      <w:r>
        <w:rPr>
          <w:b/>
        </w:rPr>
        <w:t xml:space="preserve">Machine preservation record: </w:t>
      </w:r>
      <w:r>
        <w:t>layer2_arweave_preservation_record_v1_0.json</w:t>
      </w:r>
    </w:p>
    <w:p>
      <w:pPr>
        <w:pStyle w:val="ListBullet"/>
      </w:pPr>
      <w:r>
        <w:rPr>
          <w:b/>
        </w:rPr>
        <w:t xml:space="preserve">Completion statement: </w:t>
      </w:r>
      <w:r>
        <w:t>LAYER2_COMPLETION_STATEMENT_FINAL_v1_0.txt</w:t>
      </w:r>
    </w:p>
    <w:p>
      <w:pPr>
        <w:pStyle w:val="ListBullet"/>
      </w:pPr>
      <w:r>
        <w:rPr>
          <w:b/>
        </w:rPr>
        <w:t xml:space="preserve">E08 resolution record: </w:t>
      </w:r>
      <w:r>
        <w:t>E08_RETRIEVAL_RESOLUTION_RECORD_v1_0.md</w:t>
      </w:r>
    </w:p>
    <w:p>
      <w:pPr>
        <w:pStyle w:val="ListBullet"/>
      </w:pPr>
      <w:r>
        <w:rPr>
          <w:b/>
        </w:rPr>
        <w:t xml:space="preserve">Evidence index: </w:t>
      </w:r>
      <w:r>
        <w:t>EVIDENCE_INDEX_v1_0.csv</w:t>
      </w:r>
    </w:p>
    <w:p>
      <w:pPr>
        <w:pStyle w:val="ListBullet"/>
      </w:pPr>
      <w:r>
        <w:rPr>
          <w:b/>
        </w:rPr>
        <w:t xml:space="preserve">Source evidence: </w:t>
      </w:r>
      <w:r>
        <w:t>evidence/</w:t>
      </w:r>
    </w:p>
    <w:p>
      <w:pPr>
        <w:pStyle w:val="ListBullet"/>
      </w:pPr>
      <w:r>
        <w:rPr>
          <w:b/>
        </w:rPr>
        <w:t xml:space="preserve">Checksum lists: </w:t>
      </w:r>
      <w:r>
        <w:t>checksums/SHA256SUMS.txt and checksums/SHA512SUMS.txt</w:t>
      </w:r>
    </w:p>
    <w:p>
      <w:pPr>
        <w:pStyle w:val="Heading1"/>
      </w:pPr>
      <w:r>
        <w:t>7. Interpretation boundary</w:t>
      </w:r>
    </w:p>
    <w:p>
      <w:r>
        <w:t>This preservation record verifies file identity, mapping consistency, upload registration, signed receipt evidence, root-bundle status, and retrieval checkpoints only. It does not verify truth, authority, wisdom, morality, safety, alignment, legal status, authorship rights, donor rights, governance rights, AI behavior, reader understanding, permanence guarantees, or reception.</w:t>
      </w:r>
    </w:p>
    <w:p>
      <w:r>
        <w:t>The archive and this preservation layer are read-only, non-binding, non-operational, non-authoritative, and advisory only.</w:t>
      </w:r>
    </w:p>
    <w:p>
      <w:pPr>
        <w:jc w:val="center"/>
      </w:pPr>
      <w:r>
        <w:rPr>
          <w:b/>
          <w:i/>
          <w:sz w:val="24"/>
        </w:rPr>
        <w:t>Transmission is not reception.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Aegis Solis Archive - Layer 2 Arweave Preservation Record - Final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43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43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6ku5bkcnqkroyki6knn4aq7kvfim2x7gsfcxoockppcioawcfyq.arweave.net/L5VOhUJsFRdhSPKa3gIfVUqGav80iiu5wlPeJDgWEX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Solis Archive - Layer 2 Arweave Complete Works Preservation Record - Final v1.0</dc:title>
  <dc:subject>Layer 2 Arweave complete-works preservation and verification record</dc:subject>
  <dc:creator>Aegis Solis (Thomas Vargo)</dc:creator>
  <cp:keywords>Aegis Solis Archive, Arweave, preservation, registry, hashes, Layer 2</cp:keywords>
  <dc:description>Read-only, non-binding, non-operational, non-authoritative, advisory only.</dc:description>
  <cp:lastModifiedBy/>
  <cp:revision>1</cp:revision>
  <dcterms:created xsi:type="dcterms:W3CDTF">2013-12-23T23:15:00Z</dcterms:created>
  <dcterms:modified xsi:type="dcterms:W3CDTF">2013-12-23T23:15:00Z</dcterms:modified>
  <cp:category/>
</cp:coreProperties>
</file>