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Aegis Solis Archive</w:t>
        <w:br/>
        <w:t>Layer 2 Final Closure Record</w:t>
      </w:r>
    </w:p>
    <w:p>
      <w:pPr>
        <w:jc w:val="center"/>
      </w:pPr>
      <w:r>
        <w:rPr>
          <w:b/>
          <w:sz w:val="22"/>
        </w:rPr>
        <w:t>FINAL v1.0  |  2026-07-13</w:t>
      </w:r>
    </w:p>
    <w:p>
      <w:pPr>
        <w:jc w:val="center"/>
      </w:pPr>
      <w:r>
        <w:rPr>
          <w:b/>
          <w:color w:val="165237"/>
          <w:sz w:val="22"/>
        </w:rPr>
        <w:t>COMPLETE · MIRRORED · ARWEAVE-ANCHORED · FINALIZED</w:t>
      </w:r>
    </w:p>
    <w:p>
      <w:r>
        <w:t>This record formally closes the Layer 2 Arweave complete-works preservation deployment and its later preservation-record anchor. It consolidates final mirror locations, transaction evidence, canonical package identity, and closure status without altering the canonical FINAL LOCKED source package.</w:t>
      </w:r>
    </w:p>
    <w:p>
      <w:pPr>
        <w:pStyle w:val="Heading1"/>
      </w:pPr>
      <w:r>
        <w:t>Closure Summary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Component</w:t>
            </w:r>
          </w:p>
        </w:tc>
        <w:tc>
          <w:tcPr>
            <w:tcW w:type="dxa" w:w="5040"/>
            <w:vAlign w:val="center"/>
            <w:shd w:fill="D9EAF7"/>
          </w:tcPr>
          <w:p>
            <w:r/>
            <w:r>
              <w:rPr>
                <w:rFonts w:ascii="Aptos" w:hAnsi="Aptos"/>
                <w:b/>
                <w:sz w:val="18"/>
              </w:rPr>
              <w:t>Final state</w:t>
            </w:r>
          </w:p>
        </w:tc>
      </w:tr>
      <w:tr>
        <w:tc>
          <w:tcPr>
            <w:tcW w:type="dxa" w:w="5040"/>
            <w:vAlign w:val="center"/>
          </w:tcPr>
          <w:p>
            <w:r/>
            <w:r>
              <w:rPr>
                <w:rFonts w:ascii="Aptos" w:hAnsi="Aptos"/>
                <w:b w:val="0"/>
                <w:sz w:val="18"/>
              </w:rPr>
              <w:t>Layer 1 v16 integrity anchor</w:t>
            </w:r>
          </w:p>
        </w:tc>
        <w:tc>
          <w:tcPr>
            <w:tcW w:type="dxa" w:w="5040"/>
            <w:vAlign w:val="center"/>
          </w:tcPr>
          <w:p>
            <w:r/>
            <w:r>
              <w:rPr>
                <w:rFonts w:ascii="Aptos" w:hAnsi="Aptos"/>
                <w:b w:val="0"/>
                <w:sz w:val="18"/>
              </w:rPr>
              <w:t>Complete</w:t>
            </w:r>
          </w:p>
        </w:tc>
      </w:tr>
      <w:tr>
        <w:tc>
          <w:tcPr>
            <w:tcW w:type="dxa" w:w="5040"/>
            <w:vAlign w:val="center"/>
          </w:tcPr>
          <w:p>
            <w:r/>
            <w:r>
              <w:rPr>
                <w:rFonts w:ascii="Aptos" w:hAnsi="Aptos"/>
                <w:b w:val="0"/>
                <w:sz w:val="18"/>
              </w:rPr>
              <w:t>Layer 2 Complete Works</w:t>
            </w:r>
          </w:p>
        </w:tc>
        <w:tc>
          <w:tcPr>
            <w:tcW w:type="dxa" w:w="5040"/>
            <w:vAlign w:val="center"/>
          </w:tcPr>
          <w:p>
            <w:r/>
            <w:r>
              <w:rPr>
                <w:rFonts w:ascii="Aptos" w:hAnsi="Aptos"/>
                <w:b w:val="0"/>
                <w:sz w:val="18"/>
              </w:rPr>
              <w:t>120 of 120</w:t>
            </w:r>
          </w:p>
        </w:tc>
      </w:tr>
      <w:tr>
        <w:tc>
          <w:tcPr>
            <w:tcW w:type="dxa" w:w="5040"/>
            <w:vAlign w:val="center"/>
          </w:tcPr>
          <w:p>
            <w:r/>
            <w:r>
              <w:rPr>
                <w:rFonts w:ascii="Aptos" w:hAnsi="Aptos"/>
                <w:b w:val="0"/>
                <w:sz w:val="18"/>
              </w:rPr>
              <w:t>Transaction registry</w:t>
            </w:r>
          </w:p>
        </w:tc>
        <w:tc>
          <w:tcPr>
            <w:tcW w:type="dxa" w:w="5040"/>
            <w:vAlign w:val="center"/>
          </w:tcPr>
          <w:p>
            <w:r/>
            <w:r>
              <w:rPr>
                <w:rFonts w:ascii="Aptos" w:hAnsi="Aptos"/>
                <w:b w:val="0"/>
                <w:sz w:val="18"/>
              </w:rPr>
              <w:t>120 unique transaction IDs</w:t>
            </w:r>
          </w:p>
        </w:tc>
      </w:tr>
      <w:tr>
        <w:tc>
          <w:tcPr>
            <w:tcW w:type="dxa" w:w="5040"/>
            <w:vAlign w:val="center"/>
          </w:tcPr>
          <w:p>
            <w:r/>
            <w:r>
              <w:rPr>
                <w:rFonts w:ascii="Aptos" w:hAnsi="Aptos"/>
                <w:b w:val="0"/>
                <w:sz w:val="18"/>
              </w:rPr>
              <w:t>GitHub mirror</w:t>
            </w:r>
          </w:p>
        </w:tc>
        <w:tc>
          <w:tcPr>
            <w:tcW w:type="dxa" w:w="5040"/>
            <w:vAlign w:val="center"/>
          </w:tcPr>
          <w:p>
            <w:r/>
            <w:r>
              <w:rPr>
                <w:rFonts w:ascii="Aptos" w:hAnsi="Aptos"/>
                <w:b w:val="0"/>
                <w:sz w:val="18"/>
              </w:rPr>
              <w:t>Published</w:t>
            </w:r>
          </w:p>
        </w:tc>
      </w:tr>
      <w:tr>
        <w:tc>
          <w:tcPr>
            <w:tcW w:type="dxa" w:w="5040"/>
            <w:vAlign w:val="center"/>
          </w:tcPr>
          <w:p>
            <w:r/>
            <w:r>
              <w:rPr>
                <w:rFonts w:ascii="Aptos" w:hAnsi="Aptos"/>
                <w:b w:val="0"/>
                <w:sz w:val="18"/>
              </w:rPr>
              <w:t>Zenodo mirror</w:t>
            </w:r>
          </w:p>
        </w:tc>
        <w:tc>
          <w:tcPr>
            <w:tcW w:type="dxa" w:w="5040"/>
            <w:vAlign w:val="center"/>
          </w:tcPr>
          <w:p>
            <w:r/>
            <w:r>
              <w:rPr>
                <w:rFonts w:ascii="Aptos" w:hAnsi="Aptos"/>
                <w:b w:val="0"/>
                <w:sz w:val="18"/>
              </w:rPr>
              <w:t>Published</w:t>
            </w:r>
          </w:p>
        </w:tc>
      </w:tr>
      <w:tr>
        <w:tc>
          <w:tcPr>
            <w:tcW w:type="dxa" w:w="5040"/>
            <w:vAlign w:val="center"/>
          </w:tcPr>
          <w:p>
            <w:r/>
            <w:r>
              <w:rPr>
                <w:rFonts w:ascii="Aptos" w:hAnsi="Aptos"/>
                <w:b w:val="0"/>
                <w:sz w:val="18"/>
              </w:rPr>
              <w:t>Archive.org mirror</w:t>
            </w:r>
          </w:p>
        </w:tc>
        <w:tc>
          <w:tcPr>
            <w:tcW w:type="dxa" w:w="5040"/>
            <w:vAlign w:val="center"/>
          </w:tcPr>
          <w:p>
            <w:r/>
            <w:r>
              <w:rPr>
                <w:rFonts w:ascii="Aptos" w:hAnsi="Aptos"/>
                <w:b w:val="0"/>
                <w:sz w:val="18"/>
              </w:rPr>
              <w:t>Published</w:t>
            </w:r>
          </w:p>
        </w:tc>
      </w:tr>
      <w:tr>
        <w:tc>
          <w:tcPr>
            <w:tcW w:type="dxa" w:w="5040"/>
            <w:vAlign w:val="center"/>
          </w:tcPr>
          <w:p>
            <w:r/>
            <w:r>
              <w:rPr>
                <w:rFonts w:ascii="Aptos" w:hAnsi="Aptos"/>
                <w:b w:val="0"/>
                <w:sz w:val="18"/>
              </w:rPr>
              <w:t>Preservation-record Arweave anchor</w:t>
            </w:r>
          </w:p>
        </w:tc>
        <w:tc>
          <w:tcPr>
            <w:tcW w:type="dxa" w:w="5040"/>
            <w:vAlign w:val="center"/>
          </w:tcPr>
          <w:p>
            <w:r/>
            <w:r>
              <w:rPr>
                <w:rFonts w:ascii="Aptos" w:hAnsi="Aptos"/>
                <w:b w:val="0"/>
                <w:sz w:val="18"/>
              </w:rPr>
              <w:t>FINALIZED</w:t>
            </w:r>
          </w:p>
        </w:tc>
      </w:tr>
      <w:tr>
        <w:tc>
          <w:tcPr>
            <w:tcW w:type="dxa" w:w="5040"/>
            <w:vAlign w:val="center"/>
          </w:tcPr>
          <w:p>
            <w:r/>
            <w:r>
              <w:rPr>
                <w:rFonts w:ascii="Aptos" w:hAnsi="Aptos"/>
                <w:b w:val="0"/>
                <w:sz w:val="18"/>
              </w:rPr>
              <w:t>Canonical preservation ZIP</w:t>
            </w:r>
          </w:p>
        </w:tc>
        <w:tc>
          <w:tcPr>
            <w:tcW w:type="dxa" w:w="5040"/>
            <w:vAlign w:val="center"/>
          </w:tcPr>
          <w:p>
            <w:r/>
            <w:r>
              <w:rPr>
                <w:rFonts w:ascii="Aptos" w:hAnsi="Aptos"/>
                <w:b w:val="0"/>
                <w:sz w:val="18"/>
              </w:rPr>
              <w:t>SHA-256 and SHA-512 confirmed</w:t>
            </w:r>
          </w:p>
        </w:tc>
      </w:tr>
    </w:tbl>
    <w:p>
      <w:pPr>
        <w:pStyle w:val="Heading1"/>
      </w:pPr>
      <w:r>
        <w:t>Layer 2 Metrics</w:t>
      </w:r>
    </w:p>
    <w:p>
      <w:pPr>
        <w:pStyle w:val="ListBullet"/>
      </w:pPr>
      <w:r>
        <w:t>120 separate Arweave data items and 120 unique transaction IDs</w:t>
      </w:r>
    </w:p>
    <w:p>
      <w:pPr>
        <w:pStyle w:val="ListBullet"/>
      </w:pPr>
      <w:r>
        <w:t>55,547,663 total bytes</w:t>
      </w:r>
    </w:p>
    <w:p>
      <w:pPr>
        <w:pStyle w:val="ListBullet"/>
      </w:pPr>
      <w:r>
        <w:t>109 payload files plus 11 metadata/evidence/checksum-support files</w:t>
      </w:r>
    </w:p>
    <w:p>
      <w:pPr>
        <w:pStyle w:val="ListBullet"/>
      </w:pPr>
      <w:r>
        <w:t>120 filenames reconciled with the canonical mapping and 120 byte-size matches</w:t>
      </w:r>
    </w:p>
    <w:p>
      <w:pPr>
        <w:pStyle w:val="ListBullet"/>
      </w:pPr>
      <w:r>
        <w:t>119 exact automated retrieval matches at the recorded checkpoint</w:t>
      </w:r>
    </w:p>
    <w:p>
      <w:pPr>
        <w:pStyle w:val="ListBullet"/>
      </w:pPr>
      <w:r>
        <w:t>E08 separately confirmed FINALIZED and later publicly retrievable</w:t>
      </w:r>
    </w:p>
    <w:p>
      <w:pPr>
        <w:pStyle w:val="ListBullet"/>
      </w:pPr>
      <w:r>
        <w:t>Combined completion: 120 of 120</w:t>
      </w:r>
    </w:p>
    <w:p>
      <w:pPr>
        <w:pStyle w:val="Heading1"/>
      </w:pPr>
      <w:r>
        <w:t>Public Mirrors</w:t>
      </w:r>
    </w:p>
    <w:p>
      <w:r>
        <w:rPr>
          <w:b/>
        </w:rPr>
        <w:t xml:space="preserve">GitHub: </w:t>
      </w:r>
      <w:r>
        <w:t>https://github.com/solisaegis/SolisAegis/tree/main/archive-infrastructure/arweave/Aegis_Solis_Archive_Layer2_Arweave_Preservation_Record_FINAL_v1_0</w:t>
      </w:r>
    </w:p>
    <w:p>
      <w:r>
        <w:rPr>
          <w:b/>
        </w:rPr>
        <w:t xml:space="preserve">Zenodo: </w:t>
      </w:r>
      <w:r>
        <w:t>https://zenodo.org/records/21343850</w:t>
      </w:r>
    </w:p>
    <w:p>
      <w:r>
        <w:rPr>
          <w:b/>
        </w:rPr>
        <w:t xml:space="preserve">DOI: </w:t>
      </w:r>
      <w:r>
        <w:t>https://doi.org/10.5281/zenodo.21343850</w:t>
      </w:r>
    </w:p>
    <w:p>
      <w:r>
        <w:rPr>
          <w:b/>
        </w:rPr>
        <w:t xml:space="preserve">Archive.org: </w:t>
      </w:r>
      <w:r>
        <w:t>https://archive.org/details/aegis-solis-archive-layer-2-arweave-preservation-record-final-v-1-0</w:t>
      </w:r>
    </w:p>
    <w:p>
      <w:pPr>
        <w:pStyle w:val="Heading1"/>
      </w:pPr>
      <w:r>
        <w:t>Preservation-Record Arweave Anchor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EF4F8"/>
          </w:tcPr>
          <w:p>
            <w:r/>
            <w:r>
              <w:rPr>
                <w:rFonts w:ascii="Aptos" w:hAnsi="Aptos"/>
                <w:b/>
                <w:sz w:val="18"/>
              </w:rPr>
              <w:t>Transaction ID</w:t>
            </w:r>
          </w:p>
        </w:tc>
        <w:tc>
          <w:tcPr>
            <w:tcW w:type="dxa" w:w="5040"/>
            <w:vAlign w:val="center"/>
          </w:tcPr>
          <w:p>
            <w:r/>
            <w:r>
              <w:rPr>
                <w:rFonts w:ascii="Aptos" w:hAnsi="Aptos"/>
                <w:b w:val="0"/>
                <w:sz w:val="18"/>
              </w:rPr>
              <w:t>oXuwNAOQ7OzB22b9WL2PmOm592upujxmnC9M7D4fs9A</w:t>
            </w:r>
          </w:p>
        </w:tc>
      </w:tr>
      <w:tr>
        <w:tc>
          <w:tcPr>
            <w:tcW w:type="dxa" w:w="5040"/>
            <w:vAlign w:val="center"/>
            <w:shd w:fill="EEF4F8"/>
          </w:tcPr>
          <w:p>
            <w:r/>
            <w:r>
              <w:rPr>
                <w:rFonts w:ascii="Aptos" w:hAnsi="Aptos"/>
                <w:b/>
                <w:sz w:val="18"/>
              </w:rPr>
              <w:t>Public retrieval</w:t>
            </w:r>
          </w:p>
        </w:tc>
        <w:tc>
          <w:tcPr>
            <w:tcW w:type="dxa" w:w="5040"/>
            <w:vAlign w:val="center"/>
          </w:tcPr>
          <w:p>
            <w:r/>
            <w:r>
              <w:rPr>
                <w:rFonts w:ascii="Aptos" w:hAnsi="Aptos"/>
                <w:b w:val="0"/>
                <w:sz w:val="18"/>
              </w:rPr>
              <w:t>https://arweave.net/oXuwNAOQ7OzB22b9WL2PmOm592upujxmnC9M7D4fs9A</w:t>
            </w:r>
          </w:p>
        </w:tc>
      </w:tr>
      <w:tr>
        <w:tc>
          <w:tcPr>
            <w:tcW w:type="dxa" w:w="5040"/>
            <w:vAlign w:val="center"/>
            <w:shd w:fill="EEF4F8"/>
          </w:tcPr>
          <w:p>
            <w:r/>
            <w:r>
              <w:rPr>
                <w:rFonts w:ascii="Aptos" w:hAnsi="Aptos"/>
                <w:b/>
                <w:sz w:val="18"/>
              </w:rPr>
              <w:t>Receipt status</w:t>
            </w:r>
          </w:p>
        </w:tc>
        <w:tc>
          <w:tcPr>
            <w:tcW w:type="dxa" w:w="5040"/>
            <w:vAlign w:val="center"/>
          </w:tcPr>
          <w:p>
            <w:r/>
            <w:r>
              <w:rPr>
                <w:rFonts w:ascii="Aptos" w:hAnsi="Aptos"/>
                <w:b w:val="0"/>
                <w:sz w:val="18"/>
              </w:rPr>
              <w:t>FINALIZED</w:t>
            </w:r>
          </w:p>
        </w:tc>
      </w:tr>
      <w:tr>
        <w:tc>
          <w:tcPr>
            <w:tcW w:type="dxa" w:w="5040"/>
            <w:vAlign w:val="center"/>
            <w:shd w:fill="EEF4F8"/>
          </w:tcPr>
          <w:p>
            <w:r/>
            <w:r>
              <w:rPr>
                <w:rFonts w:ascii="Aptos" w:hAnsi="Aptos"/>
                <w:b/>
                <w:sz w:val="18"/>
              </w:rPr>
              <w:t>Root bundle ID</w:t>
            </w:r>
          </w:p>
        </w:tc>
        <w:tc>
          <w:tcPr>
            <w:tcW w:type="dxa" w:w="5040"/>
            <w:vAlign w:val="center"/>
          </w:tcPr>
          <w:p>
            <w:r/>
            <w:r>
              <w:rPr>
                <w:rFonts w:ascii="Aptos" w:hAnsi="Aptos"/>
                <w:b w:val="0"/>
                <w:sz w:val="18"/>
              </w:rPr>
              <w:t>ixOEnXZhNz2iDChAdcuYO-cSxzvb6FVaOsYXteWdzGg</w:t>
            </w:r>
          </w:p>
        </w:tc>
      </w:tr>
      <w:tr>
        <w:tc>
          <w:tcPr>
            <w:tcW w:type="dxa" w:w="5040"/>
            <w:vAlign w:val="center"/>
            <w:shd w:fill="EEF4F8"/>
          </w:tcPr>
          <w:p>
            <w:r/>
            <w:r>
              <w:rPr>
                <w:rFonts w:ascii="Aptos" w:hAnsi="Aptos"/>
                <w:b/>
                <w:sz w:val="18"/>
              </w:rPr>
              <w:t>Root-bundle offset</w:t>
            </w:r>
          </w:p>
        </w:tc>
        <w:tc>
          <w:tcPr>
            <w:tcW w:type="dxa" w:w="5040"/>
            <w:vAlign w:val="center"/>
          </w:tcPr>
          <w:p>
            <w:r/>
            <w:r>
              <w:rPr>
                <w:rFonts w:ascii="Aptos" w:hAnsi="Aptos"/>
                <w:b w:val="0"/>
                <w:sz w:val="18"/>
              </w:rPr>
              <w:t>16882</w:t>
            </w:r>
          </w:p>
        </w:tc>
      </w:tr>
      <w:tr>
        <w:tc>
          <w:tcPr>
            <w:tcW w:type="dxa" w:w="5040"/>
            <w:vAlign w:val="center"/>
            <w:shd w:fill="EEF4F8"/>
          </w:tcPr>
          <w:p>
            <w:r/>
            <w:r>
              <w:rPr>
                <w:rFonts w:ascii="Aptos" w:hAnsi="Aptos"/>
                <w:b/>
                <w:sz w:val="18"/>
              </w:rPr>
              <w:t>Raw item length</w:t>
            </w:r>
          </w:p>
        </w:tc>
        <w:tc>
          <w:tcPr>
            <w:tcW w:type="dxa" w:w="5040"/>
            <w:vAlign w:val="center"/>
          </w:tcPr>
          <w:p>
            <w:r/>
            <w:r>
              <w:rPr>
                <w:rFonts w:ascii="Aptos" w:hAnsi="Aptos"/>
                <w:b w:val="0"/>
                <w:sz w:val="18"/>
              </w:rPr>
              <w:t>328010 bytes</w:t>
            </w:r>
          </w:p>
        </w:tc>
      </w:tr>
      <w:tr>
        <w:tc>
          <w:tcPr>
            <w:tcW w:type="dxa" w:w="5040"/>
            <w:vAlign w:val="center"/>
            <w:shd w:fill="EEF4F8"/>
          </w:tcPr>
          <w:p>
            <w:r/>
            <w:r>
              <w:rPr>
                <w:rFonts w:ascii="Aptos" w:hAnsi="Aptos"/>
                <w:b/>
                <w:sz w:val="18"/>
              </w:rPr>
              <w:t>Payload type</w:t>
            </w:r>
          </w:p>
        </w:tc>
        <w:tc>
          <w:tcPr>
            <w:tcW w:type="dxa" w:w="5040"/>
            <w:vAlign w:val="center"/>
          </w:tcPr>
          <w:p>
            <w:r/>
            <w:r>
              <w:rPr>
                <w:rFonts w:ascii="Aptos" w:hAnsi="Aptos"/>
                <w:b w:val="0"/>
                <w:sz w:val="18"/>
              </w:rPr>
              <w:t>application/x-zip-compressed</w:t>
            </w:r>
          </w:p>
        </w:tc>
      </w:tr>
      <w:tr>
        <w:tc>
          <w:tcPr>
            <w:tcW w:type="dxa" w:w="5040"/>
            <w:vAlign w:val="center"/>
            <w:shd w:fill="EEF4F8"/>
          </w:tcPr>
          <w:p>
            <w:r/>
            <w:r>
              <w:rPr>
                <w:rFonts w:ascii="Aptos" w:hAnsi="Aptos"/>
                <w:b/>
                <w:sz w:val="18"/>
              </w:rPr>
              <w:t>Payload length</w:t>
            </w:r>
          </w:p>
        </w:tc>
        <w:tc>
          <w:tcPr>
            <w:tcW w:type="dxa" w:w="5040"/>
            <w:vAlign w:val="center"/>
          </w:tcPr>
          <w:p>
            <w:r/>
            <w:r>
              <w:rPr>
                <w:rFonts w:ascii="Aptos" w:hAnsi="Aptos"/>
                <w:b w:val="0"/>
                <w:sz w:val="18"/>
              </w:rPr>
              <w:t>327662 bytes</w:t>
            </w:r>
          </w:p>
        </w:tc>
      </w:tr>
      <w:tr>
        <w:tc>
          <w:tcPr>
            <w:tcW w:type="dxa" w:w="5040"/>
            <w:vAlign w:val="center"/>
            <w:shd w:fill="EEF4F8"/>
          </w:tcPr>
          <w:p>
            <w:r/>
            <w:r>
              <w:rPr>
                <w:rFonts w:ascii="Aptos" w:hAnsi="Aptos"/>
                <w:b/>
                <w:sz w:val="18"/>
              </w:rPr>
              <w:t>Recorded cost</w:t>
            </w:r>
          </w:p>
        </w:tc>
        <w:tc>
          <w:tcPr>
            <w:tcW w:type="dxa" w:w="5040"/>
            <w:vAlign w:val="center"/>
          </w:tcPr>
          <w:p>
            <w:r/>
            <w:r>
              <w:rPr>
                <w:rFonts w:ascii="Aptos" w:hAnsi="Aptos"/>
                <w:b w:val="0"/>
                <w:sz w:val="18"/>
              </w:rPr>
              <w:t>3210376592 winc</w:t>
            </w:r>
          </w:p>
        </w:tc>
      </w:tr>
    </w:tbl>
    <w:p>
      <w:pPr>
        <w:pStyle w:val="Heading1"/>
      </w:pPr>
      <w:r>
        <w:t>Canonical Preservation Package</w:t>
      </w:r>
    </w:p>
    <w:p>
      <w:r>
        <w:rPr>
          <w:b/>
        </w:rPr>
        <w:t xml:space="preserve">Filename: </w:t>
      </w:r>
      <w:r>
        <w:t>Aegis_Solis_Archive_Layer2_Arweave_Preservation_Record_FINAL_v1_0.zip</w:t>
      </w:r>
    </w:p>
    <w:p>
      <w:r>
        <w:rPr>
          <w:b/>
        </w:rPr>
        <w:t xml:space="preserve">File size: </w:t>
      </w:r>
      <w:r>
        <w:t>327,662 bytes</w:t>
      </w:r>
    </w:p>
    <w:p>
      <w:r>
        <w:rPr>
          <w:b/>
        </w:rPr>
        <w:t xml:space="preserve">SHA-256: </w:t>
      </w:r>
      <w:r>
        <w:t>251677c14b5fd82b059fcf1251c2cbd027a82604657c9c37ae91a6f151f67ef0</w:t>
      </w:r>
    </w:p>
    <w:p>
      <w:r>
        <w:rPr>
          <w:b/>
        </w:rPr>
        <w:t xml:space="preserve">SHA-512: </w:t>
      </w:r>
      <w:r>
        <w:t>303f72e6bd1dca04fed992380ab0fd98d0da9e0aafd3c5df670a8c23eae50160429c5cc418ccfe67fd2156767aeb2a0f4c2be65e7b1a33192340eac8e88757a8</w:t>
      </w:r>
    </w:p>
    <w:p>
      <w:r>
        <w:rPr>
          <w:b/>
        </w:rPr>
        <w:t xml:space="preserve">Local ZIP integrity: </w:t>
      </w:r>
      <w:r>
        <w:t>PASS</w:t>
      </w:r>
    </w:p>
    <w:p>
      <w:pPr>
        <w:pStyle w:val="Heading1"/>
      </w:pPr>
      <w:r>
        <w:t>Endpoint Verification Note</w:t>
      </w:r>
    </w:p>
    <w:p>
      <w:r>
        <w:t>The public Arweave endpoint returned HTTP 200 with content type application/x-zip-compressed and the exact expected content length of 327,662 bytes. The finalized Turbo receipt independently records the same payload length.</w:t>
      </w:r>
    </w:p>
    <w:p>
      <w:r>
        <w:t>The execution environment blocked saving the remote ZIP because of its MIME-type policy. Therefore, this record does not claim that a new remote-byte hash calculation was completed in that environment. It records endpoint availability and exact size, the finalized receipt, and the already hash-confirmed canonical local package.</w:t>
      </w:r>
    </w:p>
    <w:p>
      <w:pPr>
        <w:pStyle w:val="Heading1"/>
      </w:pPr>
      <w:r>
        <w:t>Final Status</w:t>
      </w:r>
    </w:p>
    <w:p>
      <w:pPr>
        <w:pStyle w:val="ListBullet"/>
      </w:pPr>
      <w:r>
        <w:t>COMPLETE</w:t>
      </w:r>
    </w:p>
    <w:p>
      <w:pPr>
        <w:pStyle w:val="ListBullet"/>
      </w:pPr>
      <w:r>
        <w:t>MIRRORED</w:t>
      </w:r>
    </w:p>
    <w:p>
      <w:pPr>
        <w:pStyle w:val="ListBullet"/>
      </w:pPr>
      <w:r>
        <w:t>ARWEAVE-ANCHORED</w:t>
      </w:r>
    </w:p>
    <w:p>
      <w:pPr>
        <w:pStyle w:val="ListBullet"/>
      </w:pPr>
      <w:r>
        <w:t>RECEIPT-FINALIZED</w:t>
      </w:r>
    </w:p>
    <w:p>
      <w:pPr>
        <w:pStyle w:val="ListBullet"/>
      </w:pPr>
      <w:r>
        <w:t>CANONICAL-ZIP HASH-CONFIRMED</w:t>
      </w:r>
    </w:p>
    <w:p>
      <w:pPr>
        <w:pStyle w:val="ListBullet"/>
      </w:pPr>
      <w:r>
        <w:t>PUBLIC-ENDPOINT SIZE-CONFIRMED</w:t>
      </w:r>
    </w:p>
    <w:p>
      <w:pPr>
        <w:pStyle w:val="ListBullet"/>
      </w:pPr>
      <w:r>
        <w:t>CROSS-LINKED</w:t>
      </w:r>
    </w:p>
    <w:p>
      <w:pPr>
        <w:pStyle w:val="Heading1"/>
      </w:pPr>
      <w:r>
        <w:t>Boundary</w:t>
      </w:r>
    </w:p>
    <w:p>
      <w:r>
        <w:t>This closure record is read-only, non-binding, non-operational, non-authoritative, and advisory only. Hashes verify file identity and mirror consistency only. They do not establish truth, authority, wisdom, morality, safety, alignment, legal status, authorship rights, donor rights, governance rights, AI behavior, reader understanding, future availability, permanence guarantees, or reception.</w:t>
      </w:r>
    </w:p>
    <w:p>
      <w:pPr>
        <w:jc w:val="center"/>
      </w:pPr>
      <w:r>
        <w:rPr>
          <w:b/>
        </w:rPr>
        <w:t>Transmission is not reception.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Aegis Solis Archive — Layer 2 Final Closure Record — Final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