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35B04" w14:textId="22DEF684" w:rsidR="003D2581" w:rsidRPr="00FD4268" w:rsidRDefault="003D2581" w:rsidP="003D2581">
      <w:pPr>
        <w:rPr>
          <w:rFonts w:ascii="Garamond" w:hAnsi="Garamond"/>
        </w:rPr>
      </w:pPr>
    </w:p>
    <w:p w14:paraId="5EA3ECC2" w14:textId="51BEC144" w:rsidR="003D2581" w:rsidRPr="00FD4268" w:rsidRDefault="003D2581" w:rsidP="003D2581">
      <w:pPr>
        <w:rPr>
          <w:rFonts w:ascii="Garamond" w:hAnsi="Garamond"/>
        </w:rPr>
      </w:pPr>
    </w:p>
    <w:p w14:paraId="1E093209" w14:textId="61D13F10" w:rsidR="003D2581" w:rsidRPr="00FD4268" w:rsidRDefault="003D2581" w:rsidP="003D2581">
      <w:pPr>
        <w:rPr>
          <w:rFonts w:ascii="Garamond" w:hAnsi="Garamond"/>
        </w:rPr>
      </w:pPr>
    </w:p>
    <w:p w14:paraId="336D20B4" w14:textId="7C8C75B3" w:rsidR="003D2581" w:rsidRPr="00FD4268" w:rsidRDefault="003D2581" w:rsidP="003D2581">
      <w:pPr>
        <w:rPr>
          <w:rFonts w:ascii="Garamond" w:hAnsi="Garamond"/>
        </w:rPr>
      </w:pPr>
    </w:p>
    <w:p w14:paraId="338C4BD7" w14:textId="28463BAB" w:rsidR="003D2581" w:rsidRPr="00FD4268" w:rsidRDefault="003D2581" w:rsidP="003D2581">
      <w:pPr>
        <w:rPr>
          <w:rFonts w:ascii="Garamond" w:hAnsi="Garamond"/>
        </w:rPr>
      </w:pPr>
    </w:p>
    <w:p w14:paraId="296BCA51" w14:textId="273D4BEF" w:rsidR="003D2581" w:rsidRPr="00FD4268" w:rsidRDefault="003D2581" w:rsidP="003D2581">
      <w:pPr>
        <w:rPr>
          <w:rFonts w:ascii="Garamond" w:hAnsi="Garamond"/>
        </w:rPr>
      </w:pPr>
    </w:p>
    <w:p w14:paraId="7596E6BD" w14:textId="391ED579" w:rsidR="003D2581" w:rsidRPr="00FD4268" w:rsidRDefault="003D2581" w:rsidP="003D2581">
      <w:pPr>
        <w:rPr>
          <w:rFonts w:ascii="Garamond" w:hAnsi="Garamond"/>
        </w:rPr>
      </w:pPr>
    </w:p>
    <w:p w14:paraId="6EF063B0" w14:textId="172D43E3" w:rsidR="003D2581" w:rsidRPr="00FD4268" w:rsidRDefault="003D2581" w:rsidP="003D2581">
      <w:pPr>
        <w:rPr>
          <w:rFonts w:ascii="Garamond" w:hAnsi="Garamond"/>
        </w:rPr>
      </w:pPr>
    </w:p>
    <w:p w14:paraId="3E921323" w14:textId="04F4FDFC" w:rsidR="003D2581" w:rsidRPr="00FD4268" w:rsidRDefault="003D2581" w:rsidP="003D2581">
      <w:pPr>
        <w:rPr>
          <w:rFonts w:ascii="Garamond" w:hAnsi="Garamond"/>
        </w:rPr>
      </w:pPr>
    </w:p>
    <w:p w14:paraId="5B4B0A10" w14:textId="77777777" w:rsidR="00DF2488" w:rsidRDefault="00801FAB" w:rsidP="00DF2488">
      <w:pPr>
        <w:spacing w:after="0" w:line="240" w:lineRule="auto"/>
        <w:jc w:val="center"/>
        <w:rPr>
          <w:rFonts w:ascii="Garamond" w:hAnsi="Garamond"/>
          <w:sz w:val="32"/>
          <w:szCs w:val="32"/>
        </w:rPr>
      </w:pPr>
      <w:r w:rsidRPr="00FD4268">
        <w:rPr>
          <w:rFonts w:ascii="Garamond" w:hAnsi="Garamond"/>
          <w:sz w:val="32"/>
          <w:szCs w:val="32"/>
        </w:rPr>
        <w:t xml:space="preserve">Veteran’s Administration Lung Cancer </w:t>
      </w:r>
    </w:p>
    <w:p w14:paraId="5B64951D" w14:textId="6A3A57E6" w:rsidR="003D2581" w:rsidRDefault="00801FAB" w:rsidP="00DF2488">
      <w:pPr>
        <w:spacing w:after="0" w:line="240" w:lineRule="auto"/>
        <w:jc w:val="center"/>
        <w:rPr>
          <w:rFonts w:ascii="Garamond" w:hAnsi="Garamond"/>
          <w:sz w:val="32"/>
          <w:szCs w:val="32"/>
        </w:rPr>
      </w:pPr>
      <w:r w:rsidRPr="00FD4268">
        <w:rPr>
          <w:rFonts w:ascii="Garamond" w:hAnsi="Garamond"/>
          <w:sz w:val="32"/>
          <w:szCs w:val="32"/>
        </w:rPr>
        <w:t>Data Analysis Report</w:t>
      </w:r>
    </w:p>
    <w:p w14:paraId="38AF35BA" w14:textId="77777777" w:rsidR="00FD4268" w:rsidRPr="00FD4268" w:rsidRDefault="00FD4268" w:rsidP="00DF2488">
      <w:pPr>
        <w:spacing w:after="0" w:line="240" w:lineRule="auto"/>
        <w:jc w:val="center"/>
        <w:rPr>
          <w:rFonts w:ascii="Garamond" w:hAnsi="Garamond"/>
          <w:sz w:val="32"/>
          <w:szCs w:val="32"/>
        </w:rPr>
      </w:pPr>
    </w:p>
    <w:p w14:paraId="5595C9B3" w14:textId="298C35E6" w:rsidR="00801FAB" w:rsidRDefault="00801FAB" w:rsidP="00DF2488">
      <w:pPr>
        <w:spacing w:after="0" w:line="240" w:lineRule="auto"/>
        <w:jc w:val="center"/>
        <w:rPr>
          <w:rFonts w:ascii="Garamond" w:hAnsi="Garamond"/>
          <w:sz w:val="28"/>
          <w:szCs w:val="28"/>
        </w:rPr>
      </w:pPr>
      <w:r w:rsidRPr="00FD4268">
        <w:rPr>
          <w:rFonts w:ascii="Garamond" w:hAnsi="Garamond"/>
          <w:sz w:val="28"/>
          <w:szCs w:val="28"/>
        </w:rPr>
        <w:t>Sam Oliszewski</w:t>
      </w:r>
    </w:p>
    <w:p w14:paraId="02FC7853" w14:textId="77777777" w:rsidR="00DF2488" w:rsidRDefault="00DF2488" w:rsidP="00DF2488">
      <w:pPr>
        <w:spacing w:after="0" w:line="240" w:lineRule="auto"/>
        <w:jc w:val="center"/>
        <w:rPr>
          <w:rFonts w:ascii="Garamond" w:hAnsi="Garamond"/>
          <w:sz w:val="28"/>
          <w:szCs w:val="28"/>
        </w:rPr>
      </w:pPr>
    </w:p>
    <w:p w14:paraId="33626C43" w14:textId="728243B7" w:rsidR="00801FAB" w:rsidRPr="00FD4268" w:rsidRDefault="00801FAB" w:rsidP="00DF2488">
      <w:pPr>
        <w:spacing w:after="0" w:line="240" w:lineRule="auto"/>
        <w:jc w:val="center"/>
        <w:rPr>
          <w:rFonts w:ascii="Garamond" w:hAnsi="Garamond"/>
          <w:sz w:val="28"/>
          <w:szCs w:val="28"/>
        </w:rPr>
      </w:pPr>
      <w:r w:rsidRPr="00FD4268">
        <w:rPr>
          <w:rFonts w:ascii="Garamond" w:hAnsi="Garamond"/>
          <w:sz w:val="28"/>
          <w:szCs w:val="28"/>
        </w:rPr>
        <w:t>Oregon State University</w:t>
      </w:r>
    </w:p>
    <w:p w14:paraId="3F225335" w14:textId="77777777" w:rsidR="003D2581" w:rsidRPr="00FD4268" w:rsidRDefault="003D2581">
      <w:pPr>
        <w:rPr>
          <w:rFonts w:ascii="Garamond" w:eastAsiaTheme="majorEastAsia" w:hAnsi="Garamond" w:cstheme="majorBidi"/>
          <w:color w:val="2F5496" w:themeColor="accent1" w:themeShade="BF"/>
          <w:sz w:val="32"/>
          <w:szCs w:val="32"/>
        </w:rPr>
      </w:pPr>
      <w:r w:rsidRPr="00FD4268">
        <w:rPr>
          <w:rFonts w:ascii="Garamond" w:hAnsi="Garamond"/>
        </w:rPr>
        <w:br w:type="page"/>
      </w:r>
    </w:p>
    <w:p w14:paraId="5175C705" w14:textId="4B7769CA" w:rsidR="003D2581" w:rsidRPr="00DF2488" w:rsidRDefault="003D2581" w:rsidP="00DF2488">
      <w:pPr>
        <w:pStyle w:val="Heading1"/>
        <w:spacing w:before="0" w:after="60"/>
        <w:jc w:val="center"/>
        <w:rPr>
          <w:rFonts w:ascii="Garamond" w:hAnsi="Garamond"/>
          <w:b/>
          <w:color w:val="auto"/>
          <w:sz w:val="24"/>
          <w:szCs w:val="24"/>
        </w:rPr>
      </w:pPr>
      <w:r w:rsidRPr="00DF2488">
        <w:rPr>
          <w:rFonts w:ascii="Garamond" w:hAnsi="Garamond"/>
          <w:b/>
          <w:color w:val="auto"/>
          <w:sz w:val="24"/>
          <w:szCs w:val="24"/>
        </w:rPr>
        <w:lastRenderedPageBreak/>
        <w:t>Introduction</w:t>
      </w:r>
    </w:p>
    <w:p w14:paraId="5921DEC7" w14:textId="587049CB" w:rsidR="00211008" w:rsidRPr="00FD4268" w:rsidRDefault="00211008" w:rsidP="00DF2488">
      <w:pPr>
        <w:spacing w:after="0"/>
        <w:ind w:firstLine="720"/>
        <w:rPr>
          <w:rFonts w:ascii="Garamond" w:hAnsi="Garamond"/>
        </w:rPr>
      </w:pPr>
      <w:r w:rsidRPr="00FD4268">
        <w:rPr>
          <w:rFonts w:ascii="Garamond" w:hAnsi="Garamond"/>
        </w:rPr>
        <w:t>In a study conducted by the US Veterans Administration, male patients with advanced inoperable lung cancer were</w:t>
      </w:r>
      <w:r w:rsidR="007E45DE" w:rsidRPr="00FD4268">
        <w:rPr>
          <w:rFonts w:ascii="Garamond" w:hAnsi="Garamond"/>
        </w:rPr>
        <w:t xml:space="preserve"> randomly assigned to two treatments of</w:t>
      </w:r>
      <w:r w:rsidRPr="00FD4268">
        <w:rPr>
          <w:rFonts w:ascii="Garamond" w:hAnsi="Garamond"/>
        </w:rPr>
        <w:t xml:space="preserve"> either a standard therapy or a test chemotherapy. Time to death was recorded for 137 patients, while 9 left the study before death. Various covariates were also documented for each patient</w:t>
      </w:r>
      <w:r w:rsidR="004A75B1" w:rsidRPr="00FD4268">
        <w:rPr>
          <w:rFonts w:ascii="Garamond" w:hAnsi="Garamond"/>
        </w:rPr>
        <w:t xml:space="preserve"> including: tumor cell type, </w:t>
      </w:r>
      <w:proofErr w:type="spellStart"/>
      <w:r w:rsidR="004A75B1" w:rsidRPr="00FD4268">
        <w:rPr>
          <w:rFonts w:ascii="Garamond" w:hAnsi="Garamond"/>
        </w:rPr>
        <w:t>Karnofsky</w:t>
      </w:r>
      <w:proofErr w:type="spellEnd"/>
      <w:r w:rsidR="004A75B1" w:rsidRPr="00FD4268">
        <w:rPr>
          <w:rFonts w:ascii="Garamond" w:hAnsi="Garamond"/>
        </w:rPr>
        <w:t xml:space="preserve"> performance score, time between diagnosis and start of study (in months), age of patient, and an indicator of prior therapy</w:t>
      </w:r>
      <w:r w:rsidRPr="00FD4268">
        <w:rPr>
          <w:rFonts w:ascii="Garamond" w:hAnsi="Garamond"/>
        </w:rPr>
        <w:t>.</w:t>
      </w:r>
      <w:r w:rsidR="007E45DE" w:rsidRPr="00FD4268">
        <w:rPr>
          <w:rFonts w:ascii="Garamond" w:hAnsi="Garamond"/>
        </w:rPr>
        <w:t xml:space="preserve"> </w:t>
      </w:r>
    </w:p>
    <w:p w14:paraId="5820D1A0" w14:textId="17143D19" w:rsidR="009A3796" w:rsidRPr="00FD4268" w:rsidRDefault="00211008" w:rsidP="00DF2488">
      <w:pPr>
        <w:spacing w:after="60"/>
        <w:rPr>
          <w:rFonts w:ascii="Garamond" w:hAnsi="Garamond"/>
        </w:rPr>
      </w:pPr>
      <w:r w:rsidRPr="00FD4268">
        <w:rPr>
          <w:rFonts w:ascii="Garamond" w:hAnsi="Garamond"/>
        </w:rPr>
        <w:t>This data set has been published in D</w:t>
      </w:r>
      <w:r w:rsidR="003C2BC5" w:rsidRPr="00FD4268">
        <w:rPr>
          <w:rFonts w:ascii="Garamond" w:hAnsi="Garamond"/>
        </w:rPr>
        <w:t>.</w:t>
      </w:r>
      <w:r w:rsidRPr="00FD4268">
        <w:rPr>
          <w:rFonts w:ascii="Garamond" w:hAnsi="Garamond"/>
        </w:rPr>
        <w:t xml:space="preserve"> </w:t>
      </w:r>
      <w:proofErr w:type="spellStart"/>
      <w:r w:rsidRPr="00FD4268">
        <w:rPr>
          <w:rFonts w:ascii="Garamond" w:hAnsi="Garamond"/>
        </w:rPr>
        <w:t>Kalbfleisch</w:t>
      </w:r>
      <w:proofErr w:type="spellEnd"/>
      <w:r w:rsidRPr="00FD4268">
        <w:rPr>
          <w:rFonts w:ascii="Garamond" w:hAnsi="Garamond"/>
        </w:rPr>
        <w:t xml:space="preserve"> and R</w:t>
      </w:r>
      <w:r w:rsidR="003C2BC5" w:rsidRPr="00FD4268">
        <w:rPr>
          <w:rFonts w:ascii="Garamond" w:hAnsi="Garamond"/>
        </w:rPr>
        <w:t>.</w:t>
      </w:r>
      <w:r w:rsidRPr="00FD4268">
        <w:rPr>
          <w:rFonts w:ascii="Garamond" w:hAnsi="Garamond"/>
        </w:rPr>
        <w:t>L</w:t>
      </w:r>
      <w:r w:rsidR="003C2BC5" w:rsidRPr="00FD4268">
        <w:rPr>
          <w:rFonts w:ascii="Garamond" w:hAnsi="Garamond"/>
        </w:rPr>
        <w:t>.</w:t>
      </w:r>
      <w:r w:rsidRPr="00FD4268">
        <w:rPr>
          <w:rFonts w:ascii="Garamond" w:hAnsi="Garamond"/>
        </w:rPr>
        <w:t xml:space="preserve"> Prentice (1980), The Statistical Analysis of Failure Time Data. Wiley, New York.</w:t>
      </w:r>
    </w:p>
    <w:p w14:paraId="4F8338D6" w14:textId="7280FA9B" w:rsidR="009A3796" w:rsidRPr="00DF2488" w:rsidRDefault="009A3796" w:rsidP="00DF2488">
      <w:pPr>
        <w:pStyle w:val="Heading1"/>
        <w:spacing w:before="0" w:after="60"/>
        <w:jc w:val="center"/>
        <w:rPr>
          <w:rFonts w:ascii="Garamond" w:hAnsi="Garamond"/>
          <w:b/>
          <w:color w:val="auto"/>
          <w:sz w:val="24"/>
          <w:szCs w:val="24"/>
        </w:rPr>
      </w:pPr>
      <w:r w:rsidRPr="00DF2488">
        <w:rPr>
          <w:rFonts w:ascii="Garamond" w:hAnsi="Garamond"/>
          <w:b/>
          <w:color w:val="auto"/>
          <w:sz w:val="24"/>
          <w:szCs w:val="24"/>
        </w:rPr>
        <w:t>Methods</w:t>
      </w:r>
      <w:r w:rsidR="000E23A2" w:rsidRPr="00DF2488">
        <w:rPr>
          <w:rFonts w:ascii="Garamond" w:hAnsi="Garamond"/>
          <w:b/>
          <w:color w:val="auto"/>
          <w:sz w:val="24"/>
          <w:szCs w:val="24"/>
        </w:rPr>
        <w:t xml:space="preserve"> and Results</w:t>
      </w:r>
    </w:p>
    <w:p w14:paraId="40D1A762" w14:textId="176EE921" w:rsidR="005575E4" w:rsidRPr="00FD4268" w:rsidRDefault="00C40FDC" w:rsidP="00DF2488">
      <w:pPr>
        <w:spacing w:after="60"/>
        <w:rPr>
          <w:rFonts w:ascii="Garamond" w:hAnsi="Garamond"/>
        </w:rPr>
      </w:pPr>
      <w:r w:rsidRPr="00FD4268">
        <w:rPr>
          <w:rFonts w:ascii="Garamond" w:hAnsi="Garamond"/>
        </w:rPr>
        <w:t>The primary goal of the study was to assess if the test chemotherapy is beneficial. Secondary goals included the analysis of the additional covariates as prognostic variables.</w:t>
      </w:r>
    </w:p>
    <w:p w14:paraId="7C3367B9" w14:textId="23E136E8" w:rsidR="005575E4" w:rsidRPr="00FD4268" w:rsidRDefault="005575E4" w:rsidP="00DF2488">
      <w:pPr>
        <w:spacing w:after="0"/>
        <w:rPr>
          <w:rFonts w:ascii="Garamond" w:hAnsi="Garamond"/>
        </w:rPr>
      </w:pPr>
      <w:r w:rsidRPr="00FD4268">
        <w:rPr>
          <w:rFonts w:ascii="Garamond" w:hAnsi="Garamond"/>
        </w:rPr>
        <w:t>The dataset of interest contains the following variables:</w:t>
      </w:r>
    </w:p>
    <w:p w14:paraId="5B1F2562" w14:textId="77777777" w:rsidR="005575E4" w:rsidRPr="00FD4268" w:rsidRDefault="005575E4" w:rsidP="005575E4">
      <w:pPr>
        <w:pStyle w:val="ListParagraph"/>
        <w:numPr>
          <w:ilvl w:val="0"/>
          <w:numId w:val="1"/>
        </w:numPr>
        <w:rPr>
          <w:rFonts w:ascii="Garamond" w:hAnsi="Garamond"/>
        </w:rPr>
      </w:pPr>
      <w:proofErr w:type="spellStart"/>
      <w:r w:rsidRPr="00FD4268">
        <w:rPr>
          <w:rFonts w:ascii="Garamond" w:hAnsi="Garamond"/>
        </w:rPr>
        <w:t>trt</w:t>
      </w:r>
      <w:proofErr w:type="spellEnd"/>
      <w:r w:rsidRPr="00FD4268">
        <w:rPr>
          <w:rFonts w:ascii="Garamond" w:hAnsi="Garamond"/>
        </w:rPr>
        <w:t>: treatment type; 1=Standard Therapy, 2=Test Chemotherapy</w:t>
      </w:r>
    </w:p>
    <w:p w14:paraId="54EA0022" w14:textId="77777777" w:rsidR="005575E4" w:rsidRPr="00FD4268" w:rsidRDefault="005575E4" w:rsidP="005575E4">
      <w:pPr>
        <w:pStyle w:val="ListParagraph"/>
        <w:numPr>
          <w:ilvl w:val="0"/>
          <w:numId w:val="1"/>
        </w:numPr>
        <w:rPr>
          <w:rFonts w:ascii="Garamond" w:hAnsi="Garamond"/>
        </w:rPr>
      </w:pPr>
      <w:proofErr w:type="spellStart"/>
      <w:r w:rsidRPr="00FD4268">
        <w:rPr>
          <w:rFonts w:ascii="Garamond" w:hAnsi="Garamond"/>
        </w:rPr>
        <w:t>celltype</w:t>
      </w:r>
      <w:proofErr w:type="spellEnd"/>
      <w:r w:rsidRPr="00FD4268">
        <w:rPr>
          <w:rFonts w:ascii="Garamond" w:hAnsi="Garamond"/>
        </w:rPr>
        <w:t>: histological type of the tumor; 1=Squamous, 2=</w:t>
      </w:r>
      <w:proofErr w:type="spellStart"/>
      <w:r w:rsidRPr="00FD4268">
        <w:rPr>
          <w:rFonts w:ascii="Garamond" w:hAnsi="Garamond"/>
        </w:rPr>
        <w:t>Smallcell</w:t>
      </w:r>
      <w:proofErr w:type="spellEnd"/>
      <w:r w:rsidRPr="00FD4268">
        <w:rPr>
          <w:rFonts w:ascii="Garamond" w:hAnsi="Garamond"/>
        </w:rPr>
        <w:t>, 3=Adeno, 4=Large</w:t>
      </w:r>
    </w:p>
    <w:p w14:paraId="301408E5" w14:textId="77777777" w:rsidR="005575E4" w:rsidRPr="00FD4268" w:rsidRDefault="005575E4" w:rsidP="005575E4">
      <w:pPr>
        <w:pStyle w:val="ListParagraph"/>
        <w:numPr>
          <w:ilvl w:val="0"/>
          <w:numId w:val="1"/>
        </w:numPr>
        <w:rPr>
          <w:rFonts w:ascii="Garamond" w:hAnsi="Garamond"/>
        </w:rPr>
      </w:pPr>
      <w:r w:rsidRPr="00FD4268">
        <w:rPr>
          <w:rFonts w:ascii="Garamond" w:hAnsi="Garamond"/>
        </w:rPr>
        <w:t>time: survival time</w:t>
      </w:r>
    </w:p>
    <w:p w14:paraId="0BA60C4A" w14:textId="77777777" w:rsidR="005575E4" w:rsidRPr="00FD4268" w:rsidRDefault="005575E4" w:rsidP="005575E4">
      <w:pPr>
        <w:pStyle w:val="ListParagraph"/>
        <w:numPr>
          <w:ilvl w:val="0"/>
          <w:numId w:val="1"/>
        </w:numPr>
        <w:rPr>
          <w:rFonts w:ascii="Garamond" w:hAnsi="Garamond"/>
        </w:rPr>
      </w:pPr>
      <w:r w:rsidRPr="00FD4268">
        <w:rPr>
          <w:rFonts w:ascii="Garamond" w:hAnsi="Garamond"/>
        </w:rPr>
        <w:t>status: censoring status; 0=start of the observation period or censoring, 1= death</w:t>
      </w:r>
    </w:p>
    <w:p w14:paraId="7C323737" w14:textId="77777777" w:rsidR="005575E4" w:rsidRPr="00FD4268" w:rsidRDefault="005575E4" w:rsidP="005575E4">
      <w:pPr>
        <w:pStyle w:val="ListParagraph"/>
        <w:numPr>
          <w:ilvl w:val="0"/>
          <w:numId w:val="1"/>
        </w:numPr>
        <w:rPr>
          <w:rFonts w:ascii="Garamond" w:hAnsi="Garamond"/>
        </w:rPr>
      </w:pPr>
      <w:proofErr w:type="spellStart"/>
      <w:r w:rsidRPr="00FD4268">
        <w:rPr>
          <w:rFonts w:ascii="Garamond" w:hAnsi="Garamond"/>
        </w:rPr>
        <w:t>karno</w:t>
      </w:r>
      <w:proofErr w:type="spellEnd"/>
      <w:r w:rsidRPr="00FD4268">
        <w:rPr>
          <w:rFonts w:ascii="Garamond" w:hAnsi="Garamond"/>
        </w:rPr>
        <w:t xml:space="preserve">: </w:t>
      </w:r>
      <w:proofErr w:type="spellStart"/>
      <w:r w:rsidRPr="00FD4268">
        <w:rPr>
          <w:rFonts w:ascii="Garamond" w:hAnsi="Garamond"/>
        </w:rPr>
        <w:t>Karnofsky</w:t>
      </w:r>
      <w:proofErr w:type="spellEnd"/>
      <w:r w:rsidRPr="00FD4268">
        <w:rPr>
          <w:rFonts w:ascii="Garamond" w:hAnsi="Garamond"/>
        </w:rPr>
        <w:t xml:space="preserve"> performance score that describes the overall patients’ status at the beginning of the study (discretely scored)</w:t>
      </w:r>
    </w:p>
    <w:p w14:paraId="2D7D2BFF" w14:textId="77777777" w:rsidR="005575E4" w:rsidRPr="00FD4268" w:rsidRDefault="005575E4" w:rsidP="005575E4">
      <w:pPr>
        <w:pStyle w:val="ListParagraph"/>
        <w:numPr>
          <w:ilvl w:val="0"/>
          <w:numId w:val="1"/>
        </w:numPr>
        <w:rPr>
          <w:rFonts w:ascii="Garamond" w:hAnsi="Garamond"/>
        </w:rPr>
      </w:pPr>
      <w:proofErr w:type="spellStart"/>
      <w:r w:rsidRPr="00FD4268">
        <w:rPr>
          <w:rFonts w:ascii="Garamond" w:hAnsi="Garamond"/>
        </w:rPr>
        <w:t>diagtime</w:t>
      </w:r>
      <w:proofErr w:type="spellEnd"/>
      <w:r w:rsidRPr="00FD4268">
        <w:rPr>
          <w:rFonts w:ascii="Garamond" w:hAnsi="Garamond"/>
        </w:rPr>
        <w:t>: time between diagnosis and start of the study (in months)</w:t>
      </w:r>
    </w:p>
    <w:p w14:paraId="360DA895" w14:textId="77777777" w:rsidR="005575E4" w:rsidRPr="00FD4268" w:rsidRDefault="005575E4" w:rsidP="005575E4">
      <w:pPr>
        <w:pStyle w:val="ListParagraph"/>
        <w:numPr>
          <w:ilvl w:val="0"/>
          <w:numId w:val="1"/>
        </w:numPr>
        <w:rPr>
          <w:rFonts w:ascii="Garamond" w:hAnsi="Garamond"/>
        </w:rPr>
      </w:pPr>
      <w:r w:rsidRPr="00FD4268">
        <w:rPr>
          <w:rFonts w:ascii="Garamond" w:hAnsi="Garamond"/>
        </w:rPr>
        <w:t>age: age of the patient (in years)</w:t>
      </w:r>
    </w:p>
    <w:p w14:paraId="4BA063B0" w14:textId="1AB86B87" w:rsidR="00683F06" w:rsidRPr="00FD4268" w:rsidRDefault="005575E4" w:rsidP="00DF2488">
      <w:pPr>
        <w:pStyle w:val="ListParagraph"/>
        <w:numPr>
          <w:ilvl w:val="0"/>
          <w:numId w:val="1"/>
        </w:numPr>
        <w:spacing w:after="120"/>
        <w:rPr>
          <w:rFonts w:ascii="Garamond" w:hAnsi="Garamond"/>
        </w:rPr>
      </w:pPr>
      <w:r w:rsidRPr="00FD4268">
        <w:rPr>
          <w:rFonts w:ascii="Garamond" w:hAnsi="Garamond"/>
        </w:rPr>
        <w:t>prior: indicates if the patient has received another therapy before the current one; 0=No Prior Therapy, 10=Prior Therapy</w:t>
      </w:r>
    </w:p>
    <w:p w14:paraId="3001DD41" w14:textId="255FEF81" w:rsidR="001C7F17" w:rsidRPr="00FD4268" w:rsidRDefault="00580973" w:rsidP="00DF2488">
      <w:pPr>
        <w:spacing w:after="60"/>
        <w:rPr>
          <w:rFonts w:ascii="Garamond" w:hAnsi="Garamond"/>
        </w:rPr>
      </w:pPr>
      <w:r w:rsidRPr="00FD4268">
        <w:rPr>
          <w:rFonts w:ascii="Garamond" w:hAnsi="Garamond"/>
        </w:rPr>
        <w:t>In a preliminary effort to determine if there appears to be a treatment effect on time to death for the V.A. lung cancer patients, a plot of the Kaplan Meier survival curves for each treatment group was generated. This plot is shown below:</w:t>
      </w:r>
    </w:p>
    <w:p w14:paraId="6C73FFC0" w14:textId="61E85BB8" w:rsidR="00580973" w:rsidRPr="00FD4268" w:rsidRDefault="00580973" w:rsidP="001C7F17">
      <w:pPr>
        <w:rPr>
          <w:rFonts w:ascii="Garamond" w:hAnsi="Garamond"/>
        </w:rPr>
      </w:pPr>
      <w:r w:rsidRPr="00FD4268">
        <w:rPr>
          <w:rFonts w:ascii="Garamond" w:hAnsi="Garamond"/>
          <w:noProof/>
        </w:rPr>
        <w:drawing>
          <wp:inline distT="0" distB="0" distL="0" distR="0" wp14:anchorId="1761BED9" wp14:editId="02804119">
            <wp:extent cx="3232149" cy="24241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642" cy="2443233"/>
                    </a:xfrm>
                    <a:prstGeom prst="rect">
                      <a:avLst/>
                    </a:prstGeom>
                  </pic:spPr>
                </pic:pic>
              </a:graphicData>
            </a:graphic>
          </wp:inline>
        </w:drawing>
      </w:r>
    </w:p>
    <w:p w14:paraId="2A13978F" w14:textId="1BAC2887" w:rsidR="00580973" w:rsidRPr="00FD4268" w:rsidRDefault="00580973" w:rsidP="00DF2488">
      <w:pPr>
        <w:spacing w:after="120"/>
        <w:rPr>
          <w:rFonts w:ascii="Garamond" w:hAnsi="Garamond"/>
        </w:rPr>
      </w:pPr>
      <w:r w:rsidRPr="00FD4268">
        <w:rPr>
          <w:rFonts w:ascii="Garamond" w:hAnsi="Garamond"/>
        </w:rPr>
        <w:t>Based on these curves, there is not an obvious difference in the survival functions for the two treatment groups. Further analysis can confirm this intuition.</w:t>
      </w:r>
    </w:p>
    <w:p w14:paraId="20217933" w14:textId="0072A644" w:rsidR="000A41C5" w:rsidRPr="00FD4268" w:rsidRDefault="000A41C5" w:rsidP="00DF2488">
      <w:pPr>
        <w:spacing w:after="120"/>
        <w:rPr>
          <w:rFonts w:ascii="Garamond" w:hAnsi="Garamond" w:cstheme="minorHAnsi"/>
        </w:rPr>
      </w:pPr>
      <w:r w:rsidRPr="00FD4268">
        <w:rPr>
          <w:rFonts w:ascii="Garamond" w:hAnsi="Garamond" w:cstheme="minorHAnsi"/>
        </w:rPr>
        <w:t xml:space="preserve">To determine the effect of treatment on time to death for the V.A. lung cancer patients, a Cox Proportional Hazard model was fit to the data. To verify that the Cox Proportional Hazard model is appropriate for this data, assessment of residual plots was required. Specifically, evaluation of the Martingale and Schoenfeld </w:t>
      </w:r>
      <w:r w:rsidRPr="00FD4268">
        <w:rPr>
          <w:rFonts w:ascii="Garamond" w:hAnsi="Garamond" w:cstheme="minorHAnsi"/>
        </w:rPr>
        <w:lastRenderedPageBreak/>
        <w:t xml:space="preserve">residual plots was performed. These residual plots would indicate whether the covariates in the data had linear contributions to the model and whether </w:t>
      </w:r>
      <w:r w:rsidR="008D45F9" w:rsidRPr="00FD4268">
        <w:rPr>
          <w:rFonts w:ascii="Garamond" w:hAnsi="Garamond" w:cstheme="minorHAnsi"/>
        </w:rPr>
        <w:t>proportional hazards were observed in the data. These are two important assumptions to satisfy in order to consider inference from the Cox Proportional Hazard model reliable.</w:t>
      </w:r>
    </w:p>
    <w:p w14:paraId="3A91E248" w14:textId="496123CB" w:rsidR="008D45F9" w:rsidRPr="00FD4268" w:rsidRDefault="008D45F9" w:rsidP="00DF2488">
      <w:pPr>
        <w:spacing w:after="120"/>
        <w:rPr>
          <w:rFonts w:ascii="Garamond" w:hAnsi="Garamond" w:cstheme="minorHAnsi"/>
        </w:rPr>
      </w:pPr>
      <w:r w:rsidRPr="00FD4268">
        <w:rPr>
          <w:rFonts w:ascii="Garamond" w:hAnsi="Garamond" w:cstheme="minorHAnsi"/>
        </w:rPr>
        <w:t>To beg</w:t>
      </w:r>
      <w:r w:rsidR="00DF2488">
        <w:rPr>
          <w:rFonts w:ascii="Garamond" w:hAnsi="Garamond" w:cstheme="minorHAnsi"/>
        </w:rPr>
        <w:t>i</w:t>
      </w:r>
      <w:r w:rsidRPr="00FD4268">
        <w:rPr>
          <w:rFonts w:ascii="Garamond" w:hAnsi="Garamond" w:cstheme="minorHAnsi"/>
        </w:rPr>
        <w:t xml:space="preserve">n, the Martingale residuals for each continuous covariate in the dataset were assessed. This included plots for the variables </w:t>
      </w:r>
      <w:r w:rsidRPr="00FD4268">
        <w:rPr>
          <w:rFonts w:ascii="Garamond" w:hAnsi="Garamond" w:cstheme="minorHAnsi"/>
          <w:i/>
        </w:rPr>
        <w:t>age</w:t>
      </w:r>
      <w:r w:rsidRPr="00FD4268">
        <w:rPr>
          <w:rFonts w:ascii="Garamond" w:hAnsi="Garamond" w:cstheme="minorHAnsi"/>
        </w:rPr>
        <w:t xml:space="preserve"> and </w:t>
      </w:r>
      <w:proofErr w:type="spellStart"/>
      <w:r w:rsidRPr="00FD4268">
        <w:rPr>
          <w:rFonts w:ascii="Garamond" w:hAnsi="Garamond" w:cstheme="minorHAnsi"/>
          <w:i/>
        </w:rPr>
        <w:t>diagtime</w:t>
      </w:r>
      <w:proofErr w:type="spellEnd"/>
      <w:r w:rsidRPr="00FD4268">
        <w:rPr>
          <w:rFonts w:ascii="Garamond" w:hAnsi="Garamond" w:cstheme="minorHAnsi"/>
        </w:rPr>
        <w:t>. These plots are shown below:</w:t>
      </w:r>
    </w:p>
    <w:p w14:paraId="4157928A" w14:textId="2EA6F937" w:rsidR="008D45F9" w:rsidRPr="00FD4268" w:rsidRDefault="00EC279D" w:rsidP="00EB7C13">
      <w:pPr>
        <w:spacing w:after="0"/>
        <w:rPr>
          <w:rFonts w:ascii="Garamond" w:hAnsi="Garamond" w:cstheme="minorHAnsi"/>
        </w:rPr>
      </w:pPr>
      <w:r w:rsidRPr="00FD4268">
        <w:rPr>
          <w:rFonts w:ascii="Garamond" w:hAnsi="Garamond" w:cstheme="minorHAnsi"/>
          <w:noProof/>
        </w:rPr>
        <w:drawing>
          <wp:inline distT="0" distB="0" distL="0" distR="0" wp14:anchorId="1544FD4D" wp14:editId="456800B7">
            <wp:extent cx="2926080" cy="21945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RAge.png"/>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FD4268">
        <w:rPr>
          <w:rFonts w:ascii="Garamond" w:hAnsi="Garamond" w:cstheme="minorHAnsi"/>
        </w:rPr>
        <w:t xml:space="preserve"> </w:t>
      </w:r>
      <w:r w:rsidRPr="00FD4268">
        <w:rPr>
          <w:rFonts w:ascii="Garamond" w:hAnsi="Garamond" w:cstheme="minorHAnsi"/>
          <w:noProof/>
        </w:rPr>
        <w:drawing>
          <wp:inline distT="0" distB="0" distL="0" distR="0" wp14:anchorId="0D2B92AA" wp14:editId="53866337">
            <wp:extent cx="2926080" cy="2194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RDiagtime.png"/>
                    <pic:cNvPicPr/>
                  </pic:nvPicPr>
                  <pic:blipFill>
                    <a:blip r:embed="rId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58E81ABD" w14:textId="56B38972" w:rsidR="008D45F9" w:rsidRPr="00FD4268" w:rsidRDefault="008D45F9" w:rsidP="00DF2488">
      <w:pPr>
        <w:spacing w:before="120" w:after="120"/>
        <w:rPr>
          <w:rFonts w:ascii="Garamond" w:hAnsi="Garamond" w:cstheme="minorHAnsi"/>
        </w:rPr>
      </w:pPr>
      <w:r w:rsidRPr="00FD4268">
        <w:rPr>
          <w:rFonts w:ascii="Garamond" w:hAnsi="Garamond" w:cstheme="minorHAnsi"/>
        </w:rPr>
        <w:t xml:space="preserve">To verify the linear functional form of these covariates, we aim to see a flat line represented on the figure. We observe that as the smoothness increases for the fitted line, the curve flattens for both plots; however, neither is definitively flat nor strikingly curvy. Therefore, an additional test for the functional form of these covariates can help verify the linearity and satisfy this model assumption. </w:t>
      </w:r>
    </w:p>
    <w:p w14:paraId="636495F1" w14:textId="40ACCBC8" w:rsidR="00EA5355" w:rsidRPr="00FD4268" w:rsidRDefault="003349FF" w:rsidP="00DF2488">
      <w:pPr>
        <w:spacing w:after="120"/>
        <w:rPr>
          <w:rFonts w:ascii="Garamond" w:hAnsi="Garamond" w:cstheme="minorHAnsi"/>
        </w:rPr>
      </w:pPr>
      <w:r w:rsidRPr="00FD4268">
        <w:rPr>
          <w:rFonts w:ascii="Garamond" w:hAnsi="Garamond" w:cstheme="minorHAnsi"/>
        </w:rPr>
        <w:t xml:space="preserve">One assessment of the functional form of the covariates involves </w:t>
      </w:r>
      <w:r w:rsidR="00EA5355" w:rsidRPr="00FD4268">
        <w:rPr>
          <w:rFonts w:ascii="Garamond" w:hAnsi="Garamond" w:cstheme="minorHAnsi"/>
        </w:rPr>
        <w:t>an evaluation of the cumulative Martingale residuals against each continuous covariate. These plots are shown below:</w:t>
      </w:r>
    </w:p>
    <w:p w14:paraId="37B1C431" w14:textId="2734CB5E" w:rsidR="00EA5355" w:rsidRPr="00FD4268" w:rsidRDefault="00EC279D" w:rsidP="00EB7C13">
      <w:pPr>
        <w:spacing w:after="0"/>
        <w:rPr>
          <w:rFonts w:ascii="Garamond" w:hAnsi="Garamond" w:cstheme="minorHAnsi"/>
        </w:rPr>
      </w:pPr>
      <w:r w:rsidRPr="00FD4268">
        <w:rPr>
          <w:rFonts w:ascii="Garamond" w:hAnsi="Garamond" w:cstheme="minorHAnsi"/>
          <w:noProof/>
        </w:rPr>
        <w:drawing>
          <wp:inline distT="0" distB="0" distL="0" distR="0" wp14:anchorId="02A351A1" wp14:editId="34E09805">
            <wp:extent cx="2926080" cy="21945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Age.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FD4268">
        <w:rPr>
          <w:rFonts w:ascii="Garamond" w:hAnsi="Garamond" w:cstheme="minorHAnsi"/>
        </w:rPr>
        <w:t xml:space="preserve"> </w:t>
      </w:r>
      <w:r w:rsidRPr="00FD4268">
        <w:rPr>
          <w:rFonts w:ascii="Garamond" w:hAnsi="Garamond" w:cstheme="minorHAnsi"/>
          <w:noProof/>
        </w:rPr>
        <w:drawing>
          <wp:inline distT="0" distB="0" distL="0" distR="0" wp14:anchorId="39ACABD5" wp14:editId="3C4B49A9">
            <wp:extent cx="2926080" cy="21945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FDiagtime.png"/>
                    <pic:cNvPicPr/>
                  </pic:nvPicPr>
                  <pic:blipFill>
                    <a:blip r:embed="rId1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7B02BD60" w14:textId="40128AAD" w:rsidR="003349FF" w:rsidRPr="00FD4268" w:rsidRDefault="00EA5355" w:rsidP="00DF2488">
      <w:pPr>
        <w:spacing w:before="120" w:after="120"/>
        <w:rPr>
          <w:rFonts w:ascii="Garamond" w:hAnsi="Garamond" w:cstheme="minorHAnsi"/>
        </w:rPr>
      </w:pPr>
      <w:r w:rsidRPr="00FD4268">
        <w:rPr>
          <w:rFonts w:ascii="Garamond" w:hAnsi="Garamond" w:cstheme="minorHAnsi"/>
        </w:rPr>
        <w:t>Confirmation of a linear functional form is depicted by the bolded line falling within the range of the dotted lines in the figure. Since both bolded lines in the two plots satisfy this, we have visual confirmation of a linear functional form of these continuous covariates.</w:t>
      </w:r>
    </w:p>
    <w:p w14:paraId="4DC7CFEB" w14:textId="2F8CE88A" w:rsidR="00E77B76" w:rsidRPr="00DF2488" w:rsidRDefault="008D45F9" w:rsidP="00DF2488">
      <w:pPr>
        <w:spacing w:after="120"/>
        <w:rPr>
          <w:rFonts w:ascii="Garamond" w:hAnsi="Garamond"/>
        </w:rPr>
      </w:pPr>
      <w:r w:rsidRPr="00FD4268">
        <w:rPr>
          <w:rFonts w:ascii="Garamond" w:hAnsi="Garamond" w:cstheme="minorHAnsi"/>
        </w:rPr>
        <w:t xml:space="preserve">A </w:t>
      </w:r>
      <w:r w:rsidRPr="00FD4268">
        <w:rPr>
          <w:rFonts w:ascii="Garamond" w:hAnsi="Garamond"/>
        </w:rPr>
        <w:t>Kolmogorov-type supremum test for the functional form of each covariate can provide a quantitative measure for determining if there is evidence of a non-linear functional form. Therefore, computing such a test</w:t>
      </w:r>
      <w:r w:rsidR="00E77B76" w:rsidRPr="00FD4268">
        <w:rPr>
          <w:rFonts w:ascii="Garamond" w:hAnsi="Garamond"/>
        </w:rPr>
        <w:t>, in combination with information provided from the above plots,</w:t>
      </w:r>
      <w:r w:rsidRPr="00FD4268">
        <w:rPr>
          <w:rFonts w:ascii="Garamond" w:hAnsi="Garamond"/>
        </w:rPr>
        <w:t xml:space="preserve"> will allow for </w:t>
      </w:r>
      <w:r w:rsidR="00E77B76" w:rsidRPr="00FD4268">
        <w:rPr>
          <w:rFonts w:ascii="Garamond" w:hAnsi="Garamond"/>
        </w:rPr>
        <w:t>confirmation of the functional form of the continuous covariates in this dataset. The resulting p-values from the Kolmogorov-</w:t>
      </w:r>
      <w:r w:rsidR="00E77B76" w:rsidRPr="00FD4268">
        <w:rPr>
          <w:rFonts w:ascii="Garamond" w:hAnsi="Garamond"/>
        </w:rPr>
        <w:lastRenderedPageBreak/>
        <w:t xml:space="preserve">type supremum test for the covariates </w:t>
      </w:r>
      <w:r w:rsidR="00E77B76" w:rsidRPr="00FD4268">
        <w:rPr>
          <w:rFonts w:ascii="Garamond" w:hAnsi="Garamond"/>
          <w:i/>
        </w:rPr>
        <w:t>age</w:t>
      </w:r>
      <w:r w:rsidR="00E77B76" w:rsidRPr="00FD4268">
        <w:rPr>
          <w:rFonts w:ascii="Garamond" w:hAnsi="Garamond"/>
        </w:rPr>
        <w:t xml:space="preserve"> and </w:t>
      </w:r>
      <w:proofErr w:type="spellStart"/>
      <w:r w:rsidR="00E77B76" w:rsidRPr="00FD4268">
        <w:rPr>
          <w:rFonts w:ascii="Garamond" w:hAnsi="Garamond"/>
          <w:i/>
        </w:rPr>
        <w:t>diagtime</w:t>
      </w:r>
      <w:proofErr w:type="spellEnd"/>
      <w:r w:rsidR="00E77B76" w:rsidRPr="00FD4268">
        <w:rPr>
          <w:rFonts w:ascii="Garamond" w:hAnsi="Garamond"/>
          <w:i/>
        </w:rPr>
        <w:t xml:space="preserve"> </w:t>
      </w:r>
      <w:r w:rsidR="00E77B76" w:rsidRPr="00FD4268">
        <w:rPr>
          <w:rFonts w:ascii="Garamond" w:hAnsi="Garamond"/>
        </w:rPr>
        <w:t>were 0.</w:t>
      </w:r>
      <w:r w:rsidR="00EC279D" w:rsidRPr="00FD4268">
        <w:rPr>
          <w:rFonts w:ascii="Garamond" w:hAnsi="Garamond"/>
        </w:rPr>
        <w:t>73</w:t>
      </w:r>
      <w:r w:rsidR="00E77B76" w:rsidRPr="00FD4268">
        <w:rPr>
          <w:rFonts w:ascii="Garamond" w:hAnsi="Garamond"/>
        </w:rPr>
        <w:t xml:space="preserve"> and 0.</w:t>
      </w:r>
      <w:r w:rsidR="00EC279D" w:rsidRPr="00FD4268">
        <w:rPr>
          <w:rFonts w:ascii="Garamond" w:hAnsi="Garamond"/>
        </w:rPr>
        <w:t>89</w:t>
      </w:r>
      <w:r w:rsidR="00E77B76" w:rsidRPr="00FD4268">
        <w:rPr>
          <w:rFonts w:ascii="Garamond" w:hAnsi="Garamond"/>
        </w:rPr>
        <w:t>, respectively. These high p-values (p-value &gt; 0.05) indicate that there is no evidence that these covariates do not have a linear functional form. Therefore, this assumption of the Cox Proportional Hazard model is satisfied.</w:t>
      </w:r>
    </w:p>
    <w:p w14:paraId="77819358" w14:textId="77777777" w:rsidR="00A832C6" w:rsidRPr="00FD4268" w:rsidRDefault="00E77B76" w:rsidP="00DF2488">
      <w:pPr>
        <w:spacing w:after="120"/>
        <w:rPr>
          <w:rFonts w:ascii="Garamond" w:hAnsi="Garamond" w:cstheme="minorHAnsi"/>
        </w:rPr>
      </w:pPr>
      <w:r w:rsidRPr="00FD4268">
        <w:rPr>
          <w:rFonts w:ascii="Garamond" w:hAnsi="Garamond" w:cstheme="minorHAnsi"/>
        </w:rPr>
        <w:t>The other important assumption for the Cox Proportional Hazard model is that there are proportional hazards in the data. To check this assumption, the plots for the Schoenfeld residuals must be considered. These plots are shown below:</w:t>
      </w:r>
    </w:p>
    <w:p w14:paraId="64DCAB88" w14:textId="013B5E1F" w:rsidR="00E77B76" w:rsidRPr="00FD4268" w:rsidRDefault="00DE738A" w:rsidP="00EB7C13">
      <w:pPr>
        <w:spacing w:after="0"/>
        <w:rPr>
          <w:rFonts w:ascii="Garamond" w:hAnsi="Garamond" w:cstheme="minorHAnsi"/>
        </w:rPr>
      </w:pPr>
      <w:r w:rsidRPr="00FD4268">
        <w:rPr>
          <w:rFonts w:ascii="Garamond" w:hAnsi="Garamond" w:cstheme="minorHAnsi"/>
          <w:noProof/>
        </w:rPr>
        <w:drawing>
          <wp:inline distT="0" distB="0" distL="0" distR="0" wp14:anchorId="2A2F7BE7" wp14:editId="552D9B17">
            <wp:extent cx="2926080" cy="21945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Age.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sidRPr="00FD4268">
        <w:rPr>
          <w:rFonts w:ascii="Garamond" w:hAnsi="Garamond" w:cstheme="minorHAnsi"/>
        </w:rPr>
        <w:t xml:space="preserve"> </w:t>
      </w:r>
      <w:r w:rsidRPr="00FD4268">
        <w:rPr>
          <w:rFonts w:ascii="Garamond" w:hAnsi="Garamond" w:cstheme="minorHAnsi"/>
          <w:noProof/>
        </w:rPr>
        <w:drawing>
          <wp:inline distT="0" distB="0" distL="0" distR="0" wp14:anchorId="58BF4B67" wp14:editId="5F4DB3FF">
            <wp:extent cx="2926080" cy="21945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hCellType.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FD4268">
        <w:rPr>
          <w:rFonts w:ascii="Garamond" w:hAnsi="Garamond" w:cstheme="minorHAnsi"/>
          <w:noProof/>
        </w:rPr>
        <w:drawing>
          <wp:inline distT="0" distB="0" distL="0" distR="0" wp14:anchorId="32EB0616" wp14:editId="43AF16EC">
            <wp:extent cx="2926080" cy="2194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DiagTime.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sidRPr="00FD4268">
        <w:rPr>
          <w:rFonts w:ascii="Garamond" w:hAnsi="Garamond" w:cstheme="minorHAnsi"/>
        </w:rPr>
        <w:t xml:space="preserve"> </w:t>
      </w:r>
      <w:r w:rsidRPr="00FD4268">
        <w:rPr>
          <w:rFonts w:ascii="Garamond" w:hAnsi="Garamond" w:cstheme="minorHAnsi"/>
          <w:noProof/>
        </w:rPr>
        <w:drawing>
          <wp:inline distT="0" distB="0" distL="0" distR="0" wp14:anchorId="3ACD3402" wp14:editId="7AC4A57D">
            <wp:extent cx="2926080" cy="2194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hKarno.png"/>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FD4268">
        <w:rPr>
          <w:rFonts w:ascii="Garamond" w:hAnsi="Garamond" w:cstheme="minorHAnsi"/>
          <w:noProof/>
        </w:rPr>
        <w:drawing>
          <wp:inline distT="0" distB="0" distL="0" distR="0" wp14:anchorId="08E0B3BA" wp14:editId="63BBE1C0">
            <wp:extent cx="2926080" cy="2194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hPrior.png"/>
                    <pic:cNvPicPr/>
                  </pic:nvPicPr>
                  <pic:blipFill>
                    <a:blip r:embed="rId16">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A832C6" w:rsidRPr="00FD4268">
        <w:rPr>
          <w:rFonts w:ascii="Garamond" w:hAnsi="Garamond" w:cstheme="minorHAnsi"/>
        </w:rPr>
        <w:t xml:space="preserve"> </w:t>
      </w:r>
      <w:r w:rsidRPr="00FD4268">
        <w:rPr>
          <w:rFonts w:ascii="Garamond" w:hAnsi="Garamond" w:cstheme="minorHAnsi"/>
          <w:noProof/>
        </w:rPr>
        <w:drawing>
          <wp:inline distT="0" distB="0" distL="0" distR="0" wp14:anchorId="2AB7F4B2" wp14:editId="25E71529">
            <wp:extent cx="2926080" cy="2194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Trt.png"/>
                    <pic:cNvPicPr/>
                  </pic:nvPicPr>
                  <pic:blipFill>
                    <a:blip r:embed="rId1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47BCB16A" w14:textId="4BC1C8A1" w:rsidR="006C6132" w:rsidRPr="00FD4268" w:rsidRDefault="00E77B76" w:rsidP="00DF2488">
      <w:pPr>
        <w:spacing w:before="120" w:after="120"/>
        <w:rPr>
          <w:rFonts w:ascii="Garamond" w:hAnsi="Garamond" w:cstheme="minorHAnsi"/>
        </w:rPr>
      </w:pPr>
      <w:r w:rsidRPr="00FD4268">
        <w:rPr>
          <w:rFonts w:ascii="Garamond" w:hAnsi="Garamond" w:cstheme="minorHAnsi"/>
        </w:rPr>
        <w:t xml:space="preserve">This assumption is satisfied if the Schoenfeld residual plots for each covariate </w:t>
      </w:r>
      <w:r w:rsidR="0091215A" w:rsidRPr="00FD4268">
        <w:rPr>
          <w:rFonts w:ascii="Garamond" w:hAnsi="Garamond" w:cstheme="minorHAnsi"/>
        </w:rPr>
        <w:t xml:space="preserve">depict a flat smooth fitted line. The fitted lines for </w:t>
      </w:r>
      <w:r w:rsidR="0091215A" w:rsidRPr="00FD4268">
        <w:rPr>
          <w:rFonts w:ascii="Garamond" w:hAnsi="Garamond" w:cstheme="minorHAnsi"/>
          <w:i/>
        </w:rPr>
        <w:t xml:space="preserve">age </w:t>
      </w:r>
      <w:r w:rsidR="0091215A" w:rsidRPr="00FD4268">
        <w:rPr>
          <w:rFonts w:ascii="Garamond" w:hAnsi="Garamond" w:cstheme="minorHAnsi"/>
        </w:rPr>
        <w:t xml:space="preserve">and </w:t>
      </w:r>
      <w:r w:rsidR="0091215A" w:rsidRPr="00FD4268">
        <w:rPr>
          <w:rFonts w:ascii="Garamond" w:hAnsi="Garamond" w:cstheme="minorHAnsi"/>
          <w:i/>
        </w:rPr>
        <w:t>prior</w:t>
      </w:r>
      <w:r w:rsidR="0091215A" w:rsidRPr="00FD4268">
        <w:rPr>
          <w:rFonts w:ascii="Garamond" w:hAnsi="Garamond" w:cstheme="minorHAnsi"/>
        </w:rPr>
        <w:t xml:space="preserve"> are very clearly flat lines and the fitted lines for </w:t>
      </w:r>
      <w:proofErr w:type="spellStart"/>
      <w:r w:rsidR="0091215A" w:rsidRPr="00FD4268">
        <w:rPr>
          <w:rFonts w:ascii="Garamond" w:hAnsi="Garamond" w:cstheme="minorHAnsi"/>
          <w:i/>
        </w:rPr>
        <w:t>celltype</w:t>
      </w:r>
      <w:proofErr w:type="spellEnd"/>
      <w:r w:rsidR="0091215A" w:rsidRPr="00FD4268">
        <w:rPr>
          <w:rFonts w:ascii="Garamond" w:hAnsi="Garamond" w:cstheme="minorHAnsi"/>
          <w:i/>
        </w:rPr>
        <w:t xml:space="preserve">, </w:t>
      </w:r>
      <w:proofErr w:type="spellStart"/>
      <w:r w:rsidR="0091215A" w:rsidRPr="00FD4268">
        <w:rPr>
          <w:rFonts w:ascii="Garamond" w:hAnsi="Garamond" w:cstheme="minorHAnsi"/>
          <w:i/>
        </w:rPr>
        <w:t>diagtime</w:t>
      </w:r>
      <w:proofErr w:type="spellEnd"/>
      <w:r w:rsidR="0091215A" w:rsidRPr="00FD4268">
        <w:rPr>
          <w:rFonts w:ascii="Garamond" w:hAnsi="Garamond" w:cstheme="minorHAnsi"/>
          <w:i/>
        </w:rPr>
        <w:t xml:space="preserve">, </w:t>
      </w:r>
      <w:r w:rsidR="0091215A" w:rsidRPr="00FD4268">
        <w:rPr>
          <w:rFonts w:ascii="Garamond" w:hAnsi="Garamond" w:cstheme="minorHAnsi"/>
        </w:rPr>
        <w:t xml:space="preserve">and </w:t>
      </w:r>
      <w:proofErr w:type="spellStart"/>
      <w:r w:rsidR="0091215A" w:rsidRPr="00FD4268">
        <w:rPr>
          <w:rFonts w:ascii="Garamond" w:hAnsi="Garamond" w:cstheme="minorHAnsi"/>
          <w:i/>
        </w:rPr>
        <w:t>trt</w:t>
      </w:r>
      <w:proofErr w:type="spellEnd"/>
      <w:r w:rsidR="0091215A" w:rsidRPr="00FD4268">
        <w:rPr>
          <w:rFonts w:ascii="Garamond" w:hAnsi="Garamond" w:cstheme="minorHAnsi"/>
        </w:rPr>
        <w:t xml:space="preserve"> are </w:t>
      </w:r>
      <w:r w:rsidR="0091215A" w:rsidRPr="00FD4268">
        <w:rPr>
          <w:rFonts w:ascii="Garamond" w:hAnsi="Garamond" w:cstheme="minorHAnsi"/>
        </w:rPr>
        <w:lastRenderedPageBreak/>
        <w:t xml:space="preserve">mostly very flat and thus give no indication that the proportional hazard assumption is violated. However, the fitted line for </w:t>
      </w:r>
      <w:proofErr w:type="spellStart"/>
      <w:r w:rsidR="0091215A" w:rsidRPr="00FD4268">
        <w:rPr>
          <w:rFonts w:ascii="Garamond" w:hAnsi="Garamond" w:cstheme="minorHAnsi"/>
          <w:i/>
        </w:rPr>
        <w:t>karno</w:t>
      </w:r>
      <w:proofErr w:type="spellEnd"/>
      <w:r w:rsidR="0091215A" w:rsidRPr="00FD4268">
        <w:rPr>
          <w:rFonts w:ascii="Garamond" w:hAnsi="Garamond" w:cstheme="minorHAnsi"/>
          <w:i/>
        </w:rPr>
        <w:t xml:space="preserve"> </w:t>
      </w:r>
      <w:r w:rsidR="0091215A" w:rsidRPr="00FD4268">
        <w:rPr>
          <w:rFonts w:ascii="Garamond" w:hAnsi="Garamond" w:cstheme="minorHAnsi"/>
        </w:rPr>
        <w:t xml:space="preserve">shows some evidence of curving and thus suggests that the proportional hazard assumption may be violated for this covariate. </w:t>
      </w:r>
    </w:p>
    <w:p w14:paraId="0E751F98" w14:textId="77777777" w:rsidR="00DF2488" w:rsidRDefault="006C6132" w:rsidP="00DF2488">
      <w:pPr>
        <w:spacing w:after="120"/>
        <w:rPr>
          <w:rFonts w:ascii="Garamond" w:hAnsi="Garamond"/>
        </w:rPr>
      </w:pPr>
      <w:r w:rsidRPr="00FD4268">
        <w:rPr>
          <w:rFonts w:ascii="Garamond" w:hAnsi="Garamond" w:cstheme="minorHAnsi"/>
        </w:rPr>
        <w:t xml:space="preserve">Since the Schoenfeld residual plot for </w:t>
      </w:r>
      <w:proofErr w:type="spellStart"/>
      <w:r w:rsidRPr="00FD4268">
        <w:rPr>
          <w:rFonts w:ascii="Garamond" w:hAnsi="Garamond" w:cstheme="minorHAnsi"/>
          <w:i/>
        </w:rPr>
        <w:t>karno</w:t>
      </w:r>
      <w:proofErr w:type="spellEnd"/>
      <w:r w:rsidRPr="00FD4268">
        <w:rPr>
          <w:rFonts w:ascii="Garamond" w:hAnsi="Garamond" w:cstheme="minorHAnsi"/>
        </w:rPr>
        <w:t xml:space="preserve"> is inconclusive about violation of the proportional hazard assumption additional testing can be useful to determine whether the model assumption is satisfied. A </w:t>
      </w:r>
      <w:r w:rsidRPr="00FD4268">
        <w:rPr>
          <w:rFonts w:ascii="Garamond" w:hAnsi="Garamond"/>
        </w:rPr>
        <w:t xml:space="preserve">Kolmogorov-type supremum test can be used to determine whether the proportional hazard assumption has been violated. Since the </w:t>
      </w:r>
      <w:proofErr w:type="spellStart"/>
      <w:r w:rsidRPr="00FD4268">
        <w:rPr>
          <w:rFonts w:ascii="Garamond" w:hAnsi="Garamond"/>
        </w:rPr>
        <w:t>Karnofsky</w:t>
      </w:r>
      <w:proofErr w:type="spellEnd"/>
      <w:r w:rsidRPr="00FD4268">
        <w:rPr>
          <w:rFonts w:ascii="Garamond" w:hAnsi="Garamond"/>
        </w:rPr>
        <w:t xml:space="preserve"> score variable is treated as categorical in the model, </w:t>
      </w:r>
      <w:r w:rsidR="00F94874" w:rsidRPr="00FD4268">
        <w:rPr>
          <w:rFonts w:ascii="Garamond" w:hAnsi="Garamond"/>
        </w:rPr>
        <w:t xml:space="preserve">p-value are calculated for each increment of the metric. The associated p-values for each score are </w:t>
      </w:r>
      <w:proofErr w:type="gramStart"/>
      <w:r w:rsidR="00F94874" w:rsidRPr="00FD4268">
        <w:rPr>
          <w:rFonts w:ascii="Garamond" w:hAnsi="Garamond"/>
        </w:rPr>
        <w:t>fairly large</w:t>
      </w:r>
      <w:proofErr w:type="gramEnd"/>
      <w:r w:rsidR="00F94874" w:rsidRPr="00FD4268">
        <w:rPr>
          <w:rFonts w:ascii="Garamond" w:hAnsi="Garamond"/>
        </w:rPr>
        <w:t xml:space="preserve"> (p-value &gt; 0.5), except for the scores of 40 and 80, which resulted in p-values of 0.02 and 0.00, respectively. The high p-values indicate there is no violation of the proportional hazard assumption</w:t>
      </w:r>
      <w:r w:rsidR="00A832C6" w:rsidRPr="00FD4268">
        <w:rPr>
          <w:rFonts w:ascii="Garamond" w:hAnsi="Garamond"/>
        </w:rPr>
        <w:t xml:space="preserve">, but since some of the </w:t>
      </w:r>
      <w:proofErr w:type="spellStart"/>
      <w:r w:rsidR="00A832C6" w:rsidRPr="00FD4268">
        <w:rPr>
          <w:rFonts w:ascii="Garamond" w:hAnsi="Garamond"/>
        </w:rPr>
        <w:t>Karnofsky</w:t>
      </w:r>
      <w:proofErr w:type="spellEnd"/>
      <w:r w:rsidR="00A832C6" w:rsidRPr="00FD4268">
        <w:rPr>
          <w:rFonts w:ascii="Garamond" w:hAnsi="Garamond"/>
        </w:rPr>
        <w:t xml:space="preserve"> scores indicated a violation of the proportional hazard assumption, either this covariate needs to be excluded from the model or the Cox Proportional Hazard model is inappropriate for the data. This analysis will therefore proceed with the exclusion of the </w:t>
      </w:r>
      <w:proofErr w:type="spellStart"/>
      <w:r w:rsidR="00A832C6" w:rsidRPr="00FD4268">
        <w:rPr>
          <w:rFonts w:ascii="Garamond" w:hAnsi="Garamond"/>
        </w:rPr>
        <w:t>Karnofsky</w:t>
      </w:r>
      <w:proofErr w:type="spellEnd"/>
      <w:r w:rsidR="00A832C6" w:rsidRPr="00FD4268">
        <w:rPr>
          <w:rFonts w:ascii="Garamond" w:hAnsi="Garamond"/>
        </w:rPr>
        <w:t xml:space="preserve"> score in the Cox Proportional Hazard model. </w:t>
      </w:r>
    </w:p>
    <w:p w14:paraId="08745795" w14:textId="3E49D5D2" w:rsidR="00580973" w:rsidRPr="00FD4268" w:rsidRDefault="00A832C6" w:rsidP="00DF2488">
      <w:pPr>
        <w:spacing w:after="120"/>
        <w:rPr>
          <w:rFonts w:ascii="Garamond" w:hAnsi="Garamond"/>
        </w:rPr>
      </w:pPr>
      <w:r w:rsidRPr="00FD4268">
        <w:rPr>
          <w:rFonts w:ascii="Garamond" w:hAnsi="Garamond"/>
        </w:rPr>
        <w:t xml:space="preserve">After excluding the </w:t>
      </w:r>
      <w:proofErr w:type="spellStart"/>
      <w:r w:rsidRPr="00FD4268">
        <w:rPr>
          <w:rFonts w:ascii="Garamond" w:hAnsi="Garamond"/>
          <w:i/>
        </w:rPr>
        <w:t>karno</w:t>
      </w:r>
      <w:proofErr w:type="spellEnd"/>
      <w:r w:rsidRPr="00FD4268">
        <w:rPr>
          <w:rFonts w:ascii="Garamond" w:hAnsi="Garamond"/>
        </w:rPr>
        <w:t xml:space="preserve"> covariate from the Cox Proportional Hazard model, we can</w:t>
      </w:r>
      <w:r w:rsidR="00F86D24" w:rsidRPr="00FD4268">
        <w:rPr>
          <w:rFonts w:ascii="Garamond" w:hAnsi="Garamond"/>
        </w:rPr>
        <w:t xml:space="preserve"> run the</w:t>
      </w:r>
      <w:r w:rsidRPr="00FD4268">
        <w:rPr>
          <w:rFonts w:ascii="Garamond" w:hAnsi="Garamond"/>
        </w:rPr>
        <w:t xml:space="preserve"> </w:t>
      </w:r>
      <w:r w:rsidR="00F86D24" w:rsidRPr="00FD4268">
        <w:rPr>
          <w:rFonts w:ascii="Garamond" w:hAnsi="Garamond"/>
        </w:rPr>
        <w:t>Kolmogorov-type supremum test again to verify the model assumption again. This test indicated, with p-values for each covariate all larger than 0.05, that the proportional hazard assumption has been satisfied with this model.</w:t>
      </w:r>
    </w:p>
    <w:p w14:paraId="2788C1DD" w14:textId="319CBDB2" w:rsidR="00580973" w:rsidRPr="00FD4268" w:rsidRDefault="00580973" w:rsidP="00DF2488">
      <w:pPr>
        <w:spacing w:after="120"/>
        <w:rPr>
          <w:rFonts w:ascii="Garamond" w:hAnsi="Garamond"/>
        </w:rPr>
      </w:pPr>
      <w:r w:rsidRPr="00FD4268">
        <w:rPr>
          <w:rFonts w:ascii="Garamond" w:hAnsi="Garamond"/>
        </w:rPr>
        <w:t xml:space="preserve">With the exclusion of the </w:t>
      </w:r>
      <w:proofErr w:type="spellStart"/>
      <w:r w:rsidRPr="00FD4268">
        <w:rPr>
          <w:rFonts w:ascii="Garamond" w:hAnsi="Garamond"/>
          <w:i/>
        </w:rPr>
        <w:t>karno</w:t>
      </w:r>
      <w:proofErr w:type="spellEnd"/>
      <w:r w:rsidRPr="00FD4268">
        <w:rPr>
          <w:rFonts w:ascii="Garamond" w:hAnsi="Garamond"/>
          <w:i/>
        </w:rPr>
        <w:t xml:space="preserve"> </w:t>
      </w:r>
      <w:r w:rsidRPr="00FD4268">
        <w:rPr>
          <w:rFonts w:ascii="Garamond" w:hAnsi="Garamond"/>
        </w:rPr>
        <w:t>covariate, it is wise to recheck the Martingale residuals to make sure the model is still appropriate.</w:t>
      </w:r>
    </w:p>
    <w:p w14:paraId="246E65D9" w14:textId="6526186C" w:rsidR="00580973" w:rsidRPr="00FD4268" w:rsidRDefault="00580973" w:rsidP="00DF2488">
      <w:pPr>
        <w:spacing w:after="120"/>
        <w:rPr>
          <w:rFonts w:ascii="Garamond" w:hAnsi="Garamond"/>
        </w:rPr>
      </w:pPr>
      <w:r w:rsidRPr="00FD4268">
        <w:rPr>
          <w:rFonts w:ascii="Garamond" w:hAnsi="Garamond"/>
        </w:rPr>
        <w:t xml:space="preserve">The Martingale residuals for the model excluding </w:t>
      </w:r>
      <w:proofErr w:type="spellStart"/>
      <w:r w:rsidRPr="00FD4268">
        <w:rPr>
          <w:rFonts w:ascii="Garamond" w:hAnsi="Garamond"/>
          <w:i/>
        </w:rPr>
        <w:t>karno</w:t>
      </w:r>
      <w:proofErr w:type="spellEnd"/>
      <w:r w:rsidRPr="00FD4268">
        <w:rPr>
          <w:rFonts w:ascii="Garamond" w:hAnsi="Garamond"/>
          <w:i/>
        </w:rPr>
        <w:t xml:space="preserve"> </w:t>
      </w:r>
      <w:r w:rsidRPr="00FD4268">
        <w:rPr>
          <w:rFonts w:ascii="Garamond" w:hAnsi="Garamond"/>
        </w:rPr>
        <w:t>are shown below:</w:t>
      </w:r>
    </w:p>
    <w:p w14:paraId="2A786651" w14:textId="679CD432" w:rsidR="00580973" w:rsidRPr="00FD4268" w:rsidRDefault="00580973" w:rsidP="00EB7C13">
      <w:pPr>
        <w:spacing w:after="0"/>
        <w:rPr>
          <w:rFonts w:ascii="Garamond" w:hAnsi="Garamond"/>
        </w:rPr>
      </w:pPr>
      <w:r w:rsidRPr="00FD4268">
        <w:rPr>
          <w:rFonts w:ascii="Garamond" w:hAnsi="Garamond"/>
          <w:noProof/>
        </w:rPr>
        <w:drawing>
          <wp:inline distT="0" distB="0" distL="0" distR="0" wp14:anchorId="32BFE4F6" wp14:editId="6391BCB3">
            <wp:extent cx="2926080" cy="2194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geNoKarno.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FD4268">
        <w:rPr>
          <w:rFonts w:ascii="Garamond" w:hAnsi="Garamond"/>
        </w:rPr>
        <w:t xml:space="preserve"> </w:t>
      </w:r>
      <w:r w:rsidRPr="00FD4268">
        <w:rPr>
          <w:rFonts w:ascii="Garamond" w:hAnsi="Garamond"/>
          <w:noProof/>
        </w:rPr>
        <w:drawing>
          <wp:inline distT="0" distB="0" distL="0" distR="0" wp14:anchorId="7F378E40" wp14:editId="48719DED">
            <wp:extent cx="2926080" cy="2194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DiagtimeNoKarno.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7216F518" w14:textId="0183E15F" w:rsidR="00B40A97" w:rsidRPr="00DF2488" w:rsidRDefault="00580973" w:rsidP="00DF2488">
      <w:pPr>
        <w:spacing w:before="120" w:after="120"/>
        <w:rPr>
          <w:rFonts w:ascii="Garamond" w:hAnsi="Garamond"/>
        </w:rPr>
      </w:pPr>
      <w:r w:rsidRPr="00FD4268">
        <w:rPr>
          <w:rFonts w:ascii="Garamond" w:hAnsi="Garamond"/>
        </w:rPr>
        <w:t>We note that there are no significant changes to the Martingale residual plots.</w:t>
      </w:r>
    </w:p>
    <w:p w14:paraId="07803D9F" w14:textId="3B69AFD6" w:rsidR="00F86D24" w:rsidRPr="00FD4268" w:rsidRDefault="00B40A97" w:rsidP="00DF2488">
      <w:pPr>
        <w:spacing w:after="120"/>
        <w:rPr>
          <w:rFonts w:ascii="Garamond" w:hAnsi="Garamond" w:cstheme="minorHAnsi"/>
        </w:rPr>
      </w:pPr>
      <w:r w:rsidRPr="00FD4268">
        <w:rPr>
          <w:rFonts w:ascii="Garamond" w:hAnsi="Garamond" w:cstheme="minorHAnsi"/>
        </w:rPr>
        <w:t>Now that the Cox Proportional Hazard model has been justified to use for this data, a univariate analysis of the covariates in the model is useful to understand the influence of each covariate on the response. The model fit yielded the following regression coefficient output:</w:t>
      </w:r>
    </w:p>
    <w:tbl>
      <w:tblPr>
        <w:tblStyle w:val="TableGrid"/>
        <w:tblW w:w="0" w:type="auto"/>
        <w:tblLayout w:type="fixed"/>
        <w:tblLook w:val="04A0" w:firstRow="1" w:lastRow="0" w:firstColumn="1" w:lastColumn="0" w:noHBand="0" w:noVBand="1"/>
      </w:tblPr>
      <w:tblGrid>
        <w:gridCol w:w="1935"/>
        <w:gridCol w:w="524"/>
        <w:gridCol w:w="1058"/>
        <w:gridCol w:w="1608"/>
        <w:gridCol w:w="1350"/>
        <w:gridCol w:w="900"/>
        <w:gridCol w:w="1975"/>
      </w:tblGrid>
      <w:tr w:rsidR="00F86D24" w:rsidRPr="00FD4268" w14:paraId="27C6BEBD" w14:textId="77777777" w:rsidTr="00040EC7">
        <w:tc>
          <w:tcPr>
            <w:tcW w:w="1935" w:type="dxa"/>
            <w:vAlign w:val="center"/>
          </w:tcPr>
          <w:p w14:paraId="15CB2797" w14:textId="0E9F558F" w:rsidR="00F86D24" w:rsidRPr="00DF2488" w:rsidRDefault="00F86D24" w:rsidP="00040EC7">
            <w:pPr>
              <w:jc w:val="center"/>
              <w:rPr>
                <w:rFonts w:ascii="Garamond" w:hAnsi="Garamond" w:cstheme="minorHAnsi"/>
                <w:b/>
              </w:rPr>
            </w:pPr>
            <w:r w:rsidRPr="00DF2488">
              <w:rPr>
                <w:rFonts w:ascii="Garamond" w:hAnsi="Garamond" w:cstheme="minorHAnsi"/>
                <w:b/>
              </w:rPr>
              <w:t>Parameter</w:t>
            </w:r>
          </w:p>
        </w:tc>
        <w:tc>
          <w:tcPr>
            <w:tcW w:w="524" w:type="dxa"/>
            <w:vAlign w:val="center"/>
          </w:tcPr>
          <w:p w14:paraId="2DBA9A3B" w14:textId="0EBFA739" w:rsidR="00F86D24" w:rsidRPr="00DF2488" w:rsidRDefault="00F86D24" w:rsidP="00040EC7">
            <w:pPr>
              <w:jc w:val="center"/>
              <w:rPr>
                <w:rFonts w:ascii="Garamond" w:hAnsi="Garamond" w:cstheme="minorHAnsi"/>
                <w:b/>
              </w:rPr>
            </w:pPr>
            <w:r w:rsidRPr="00DF2488">
              <w:rPr>
                <w:rFonts w:ascii="Garamond" w:hAnsi="Garamond" w:cstheme="minorHAnsi"/>
                <w:b/>
              </w:rPr>
              <w:t>DF</w:t>
            </w:r>
          </w:p>
        </w:tc>
        <w:tc>
          <w:tcPr>
            <w:tcW w:w="1058" w:type="dxa"/>
            <w:vAlign w:val="center"/>
          </w:tcPr>
          <w:p w14:paraId="6ABBA31F" w14:textId="29E0E812" w:rsidR="00F86D24" w:rsidRPr="00DF2488" w:rsidRDefault="00F86D24" w:rsidP="00040EC7">
            <w:pPr>
              <w:jc w:val="center"/>
              <w:rPr>
                <w:rFonts w:ascii="Garamond" w:hAnsi="Garamond" w:cstheme="minorHAnsi"/>
                <w:b/>
              </w:rPr>
            </w:pPr>
            <w:r w:rsidRPr="00DF2488">
              <w:rPr>
                <w:rFonts w:ascii="Garamond" w:hAnsi="Garamond" w:cstheme="minorHAnsi"/>
                <w:b/>
              </w:rPr>
              <w:t>Estimate</w:t>
            </w:r>
          </w:p>
        </w:tc>
        <w:tc>
          <w:tcPr>
            <w:tcW w:w="1608" w:type="dxa"/>
            <w:vAlign w:val="center"/>
          </w:tcPr>
          <w:p w14:paraId="3B6DC65C" w14:textId="17366CA5" w:rsidR="00F86D24" w:rsidRPr="00DF2488" w:rsidRDefault="00F86D24" w:rsidP="00040EC7">
            <w:pPr>
              <w:jc w:val="center"/>
              <w:rPr>
                <w:rFonts w:ascii="Garamond" w:hAnsi="Garamond" w:cstheme="minorHAnsi"/>
                <w:b/>
              </w:rPr>
            </w:pPr>
            <w:r w:rsidRPr="00DF2488">
              <w:rPr>
                <w:rFonts w:ascii="Garamond" w:hAnsi="Garamond" w:cstheme="minorHAnsi"/>
                <w:b/>
              </w:rPr>
              <w:t>Standard Error</w:t>
            </w:r>
          </w:p>
        </w:tc>
        <w:tc>
          <w:tcPr>
            <w:tcW w:w="1350" w:type="dxa"/>
            <w:vAlign w:val="center"/>
          </w:tcPr>
          <w:p w14:paraId="7D5F990D" w14:textId="7A14D7FB" w:rsidR="00F86D24" w:rsidRPr="00DF2488" w:rsidRDefault="00F86D24" w:rsidP="00040EC7">
            <w:pPr>
              <w:jc w:val="center"/>
              <w:rPr>
                <w:rFonts w:ascii="Garamond" w:hAnsi="Garamond" w:cstheme="minorHAnsi"/>
                <w:b/>
              </w:rPr>
            </w:pPr>
            <w:r w:rsidRPr="00DF2488">
              <w:rPr>
                <w:rFonts w:ascii="Garamond" w:hAnsi="Garamond" w:cstheme="minorHAnsi"/>
                <w:b/>
              </w:rPr>
              <w:t>Chi-Square</w:t>
            </w:r>
          </w:p>
        </w:tc>
        <w:tc>
          <w:tcPr>
            <w:tcW w:w="900" w:type="dxa"/>
            <w:vAlign w:val="center"/>
          </w:tcPr>
          <w:p w14:paraId="577F7B90" w14:textId="6A35BC33" w:rsidR="00F86D24" w:rsidRPr="00DF2488" w:rsidRDefault="00F86D24" w:rsidP="00040EC7">
            <w:pPr>
              <w:jc w:val="center"/>
              <w:rPr>
                <w:rFonts w:ascii="Garamond" w:hAnsi="Garamond" w:cstheme="minorHAnsi"/>
                <w:b/>
              </w:rPr>
            </w:pPr>
            <w:r w:rsidRPr="00DF2488">
              <w:rPr>
                <w:rFonts w:ascii="Garamond" w:hAnsi="Garamond" w:cstheme="minorHAnsi"/>
                <w:b/>
              </w:rPr>
              <w:t>p-value</w:t>
            </w:r>
          </w:p>
        </w:tc>
        <w:tc>
          <w:tcPr>
            <w:tcW w:w="1975" w:type="dxa"/>
            <w:vAlign w:val="center"/>
          </w:tcPr>
          <w:p w14:paraId="50B41642" w14:textId="5C3EA7AF" w:rsidR="00F86D24" w:rsidRPr="00DF2488" w:rsidRDefault="00F86D24" w:rsidP="00040EC7">
            <w:pPr>
              <w:jc w:val="center"/>
              <w:rPr>
                <w:rFonts w:ascii="Garamond" w:hAnsi="Garamond" w:cstheme="minorHAnsi"/>
                <w:b/>
              </w:rPr>
            </w:pPr>
            <w:r w:rsidRPr="00DF2488">
              <w:rPr>
                <w:rFonts w:ascii="Garamond" w:hAnsi="Garamond" w:cstheme="minorHAnsi"/>
                <w:b/>
              </w:rPr>
              <w:t>Hazard Ratio</w:t>
            </w:r>
          </w:p>
        </w:tc>
      </w:tr>
      <w:tr w:rsidR="00F86D24" w:rsidRPr="00FD4268" w14:paraId="77E7DD62" w14:textId="77777777" w:rsidTr="00040EC7">
        <w:tc>
          <w:tcPr>
            <w:tcW w:w="1935" w:type="dxa"/>
            <w:vAlign w:val="center"/>
          </w:tcPr>
          <w:p w14:paraId="0E902D8F" w14:textId="1BD38AED" w:rsidR="00F86D24" w:rsidRPr="00DF2488" w:rsidRDefault="00F86D24" w:rsidP="00040EC7">
            <w:pPr>
              <w:jc w:val="center"/>
              <w:rPr>
                <w:rFonts w:ascii="Garamond" w:hAnsi="Garamond" w:cstheme="minorHAnsi"/>
              </w:rPr>
            </w:pPr>
            <w:proofErr w:type="spellStart"/>
            <w:r w:rsidRPr="00DF2488">
              <w:rPr>
                <w:rFonts w:ascii="Garamond" w:hAnsi="Garamond" w:cstheme="minorHAnsi"/>
              </w:rPr>
              <w:t>trt</w:t>
            </w:r>
            <w:proofErr w:type="spellEnd"/>
            <w:r w:rsidRPr="00DF2488">
              <w:rPr>
                <w:rFonts w:ascii="Garamond" w:hAnsi="Garamond" w:cstheme="minorHAnsi"/>
              </w:rPr>
              <w:t>=Standard</w:t>
            </w:r>
          </w:p>
        </w:tc>
        <w:tc>
          <w:tcPr>
            <w:tcW w:w="524" w:type="dxa"/>
            <w:vAlign w:val="center"/>
          </w:tcPr>
          <w:p w14:paraId="4C3072B5" w14:textId="682A6108"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79AD6696" w14:textId="6050B093" w:rsidR="00F86D24" w:rsidRPr="00FD4268" w:rsidRDefault="00F86D24" w:rsidP="00040EC7">
            <w:pPr>
              <w:jc w:val="center"/>
              <w:rPr>
                <w:rFonts w:ascii="Garamond" w:hAnsi="Garamond" w:cstheme="minorHAnsi"/>
              </w:rPr>
            </w:pPr>
            <w:r w:rsidRPr="00FD4268">
              <w:rPr>
                <w:rFonts w:ascii="Garamond" w:hAnsi="Garamond" w:cstheme="minorHAnsi"/>
              </w:rPr>
              <w:t>-0.16</w:t>
            </w:r>
          </w:p>
        </w:tc>
        <w:tc>
          <w:tcPr>
            <w:tcW w:w="1608" w:type="dxa"/>
            <w:vAlign w:val="center"/>
          </w:tcPr>
          <w:p w14:paraId="0C458AB9" w14:textId="58CBA121" w:rsidR="00F86D24" w:rsidRPr="00FD4268" w:rsidRDefault="00F86D24" w:rsidP="00040EC7">
            <w:pPr>
              <w:jc w:val="center"/>
              <w:rPr>
                <w:rFonts w:ascii="Garamond" w:hAnsi="Garamond" w:cstheme="minorHAnsi"/>
              </w:rPr>
            </w:pPr>
            <w:r w:rsidRPr="00FD4268">
              <w:rPr>
                <w:rFonts w:ascii="Garamond" w:hAnsi="Garamond" w:cstheme="minorHAnsi"/>
              </w:rPr>
              <w:t>0.20</w:t>
            </w:r>
          </w:p>
        </w:tc>
        <w:tc>
          <w:tcPr>
            <w:tcW w:w="1350" w:type="dxa"/>
            <w:vAlign w:val="center"/>
          </w:tcPr>
          <w:p w14:paraId="62E782FE" w14:textId="7BC2A342" w:rsidR="00F86D24" w:rsidRPr="00FD4268" w:rsidRDefault="00F86D24" w:rsidP="00040EC7">
            <w:pPr>
              <w:jc w:val="center"/>
              <w:rPr>
                <w:rFonts w:ascii="Garamond" w:hAnsi="Garamond" w:cstheme="minorHAnsi"/>
              </w:rPr>
            </w:pPr>
            <w:r w:rsidRPr="00FD4268">
              <w:rPr>
                <w:rFonts w:ascii="Garamond" w:hAnsi="Garamond" w:cstheme="minorHAnsi"/>
              </w:rPr>
              <w:t>0.66</w:t>
            </w:r>
          </w:p>
        </w:tc>
        <w:tc>
          <w:tcPr>
            <w:tcW w:w="900" w:type="dxa"/>
            <w:vAlign w:val="center"/>
          </w:tcPr>
          <w:p w14:paraId="6699356B" w14:textId="2B1A6492" w:rsidR="00F86D24" w:rsidRPr="00FD4268" w:rsidRDefault="00F86D24" w:rsidP="00040EC7">
            <w:pPr>
              <w:jc w:val="center"/>
              <w:rPr>
                <w:rFonts w:ascii="Garamond" w:hAnsi="Garamond" w:cstheme="minorHAnsi"/>
              </w:rPr>
            </w:pPr>
            <w:r w:rsidRPr="00FD4268">
              <w:rPr>
                <w:rFonts w:ascii="Garamond" w:hAnsi="Garamond" w:cstheme="minorHAnsi"/>
              </w:rPr>
              <w:t>0.41</w:t>
            </w:r>
          </w:p>
        </w:tc>
        <w:tc>
          <w:tcPr>
            <w:tcW w:w="1975" w:type="dxa"/>
            <w:vAlign w:val="center"/>
          </w:tcPr>
          <w:p w14:paraId="1EA34056" w14:textId="17AFFA07" w:rsidR="00F86D24" w:rsidRPr="00FD4268" w:rsidRDefault="00F86D24" w:rsidP="00040EC7">
            <w:pPr>
              <w:jc w:val="center"/>
              <w:rPr>
                <w:rFonts w:ascii="Garamond" w:hAnsi="Garamond" w:cstheme="minorHAnsi"/>
              </w:rPr>
            </w:pPr>
            <w:r w:rsidRPr="00FD4268">
              <w:rPr>
                <w:rFonts w:ascii="Garamond" w:hAnsi="Garamond" w:cstheme="minorHAnsi"/>
              </w:rPr>
              <w:t>0.85</w:t>
            </w:r>
          </w:p>
        </w:tc>
      </w:tr>
      <w:tr w:rsidR="00F86D24" w:rsidRPr="00FD4268" w14:paraId="555F922D" w14:textId="77777777" w:rsidTr="00040EC7">
        <w:tc>
          <w:tcPr>
            <w:tcW w:w="1935" w:type="dxa"/>
            <w:vAlign w:val="center"/>
          </w:tcPr>
          <w:p w14:paraId="1524F702" w14:textId="1D8576CC" w:rsidR="00F86D24" w:rsidRPr="00DF2488" w:rsidRDefault="00F86D24" w:rsidP="00040EC7">
            <w:pPr>
              <w:jc w:val="center"/>
              <w:rPr>
                <w:rFonts w:ascii="Garamond" w:hAnsi="Garamond" w:cstheme="minorHAnsi"/>
              </w:rPr>
            </w:pPr>
            <w:proofErr w:type="spellStart"/>
            <w:r w:rsidRPr="00DF2488">
              <w:rPr>
                <w:rFonts w:ascii="Garamond" w:hAnsi="Garamond" w:cstheme="minorHAnsi"/>
              </w:rPr>
              <w:t>celltype</w:t>
            </w:r>
            <w:proofErr w:type="spellEnd"/>
            <w:r w:rsidRPr="00DF2488">
              <w:rPr>
                <w:rFonts w:ascii="Garamond" w:hAnsi="Garamond" w:cstheme="minorHAnsi"/>
              </w:rPr>
              <w:t>=Squamous</w:t>
            </w:r>
          </w:p>
        </w:tc>
        <w:tc>
          <w:tcPr>
            <w:tcW w:w="524" w:type="dxa"/>
            <w:vAlign w:val="center"/>
          </w:tcPr>
          <w:p w14:paraId="4624CBB0" w14:textId="3CD94D58"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0CA6EF1D" w14:textId="6D85C8C4" w:rsidR="00F86D24" w:rsidRPr="00FD4268" w:rsidRDefault="00F86D24" w:rsidP="00040EC7">
            <w:pPr>
              <w:jc w:val="center"/>
              <w:rPr>
                <w:rFonts w:ascii="Garamond" w:hAnsi="Garamond" w:cstheme="minorHAnsi"/>
              </w:rPr>
            </w:pPr>
            <w:r w:rsidRPr="00FD4268">
              <w:rPr>
                <w:rFonts w:ascii="Garamond" w:hAnsi="Garamond" w:cstheme="minorHAnsi"/>
              </w:rPr>
              <w:t>-0.29</w:t>
            </w:r>
          </w:p>
        </w:tc>
        <w:tc>
          <w:tcPr>
            <w:tcW w:w="1608" w:type="dxa"/>
            <w:vAlign w:val="center"/>
          </w:tcPr>
          <w:p w14:paraId="7B2FECA5" w14:textId="1F33B464" w:rsidR="00F86D24" w:rsidRPr="00FD4268" w:rsidRDefault="00F86D24" w:rsidP="00040EC7">
            <w:pPr>
              <w:jc w:val="center"/>
              <w:rPr>
                <w:rFonts w:ascii="Garamond" w:hAnsi="Garamond" w:cstheme="minorHAnsi"/>
              </w:rPr>
            </w:pPr>
            <w:r w:rsidRPr="00FD4268">
              <w:rPr>
                <w:rFonts w:ascii="Garamond" w:hAnsi="Garamond" w:cstheme="minorHAnsi"/>
              </w:rPr>
              <w:t>0.29</w:t>
            </w:r>
          </w:p>
        </w:tc>
        <w:tc>
          <w:tcPr>
            <w:tcW w:w="1350" w:type="dxa"/>
            <w:vAlign w:val="center"/>
          </w:tcPr>
          <w:p w14:paraId="78967039" w14:textId="7391D315" w:rsidR="00F86D24" w:rsidRPr="00FD4268" w:rsidRDefault="00F86D24" w:rsidP="00040EC7">
            <w:pPr>
              <w:jc w:val="center"/>
              <w:rPr>
                <w:rFonts w:ascii="Garamond" w:hAnsi="Garamond" w:cstheme="minorHAnsi"/>
              </w:rPr>
            </w:pPr>
            <w:r w:rsidRPr="00FD4268">
              <w:rPr>
                <w:rFonts w:ascii="Garamond" w:hAnsi="Garamond" w:cstheme="minorHAnsi"/>
              </w:rPr>
              <w:t>1.03</w:t>
            </w:r>
          </w:p>
        </w:tc>
        <w:tc>
          <w:tcPr>
            <w:tcW w:w="900" w:type="dxa"/>
            <w:vAlign w:val="center"/>
          </w:tcPr>
          <w:p w14:paraId="3E5C2555" w14:textId="30C7D39E" w:rsidR="00F86D24" w:rsidRPr="00FD4268" w:rsidRDefault="00F86D24" w:rsidP="00040EC7">
            <w:pPr>
              <w:jc w:val="center"/>
              <w:rPr>
                <w:rFonts w:ascii="Garamond" w:hAnsi="Garamond" w:cstheme="minorHAnsi"/>
              </w:rPr>
            </w:pPr>
            <w:r w:rsidRPr="00FD4268">
              <w:rPr>
                <w:rFonts w:ascii="Garamond" w:hAnsi="Garamond" w:cstheme="minorHAnsi"/>
              </w:rPr>
              <w:t>0.31</w:t>
            </w:r>
          </w:p>
        </w:tc>
        <w:tc>
          <w:tcPr>
            <w:tcW w:w="1975" w:type="dxa"/>
            <w:vAlign w:val="center"/>
          </w:tcPr>
          <w:p w14:paraId="7010F3A2" w14:textId="06E39D5A" w:rsidR="00F86D24" w:rsidRPr="00FD4268" w:rsidRDefault="00F86D24" w:rsidP="00040EC7">
            <w:pPr>
              <w:jc w:val="center"/>
              <w:rPr>
                <w:rFonts w:ascii="Garamond" w:hAnsi="Garamond" w:cstheme="minorHAnsi"/>
              </w:rPr>
            </w:pPr>
            <w:r w:rsidRPr="00FD4268">
              <w:rPr>
                <w:rFonts w:ascii="Garamond" w:hAnsi="Garamond" w:cstheme="minorHAnsi"/>
              </w:rPr>
              <w:t>0.75</w:t>
            </w:r>
          </w:p>
        </w:tc>
      </w:tr>
      <w:tr w:rsidR="00F86D24" w:rsidRPr="00FD4268" w14:paraId="25F1A3F5" w14:textId="77777777" w:rsidTr="00040EC7">
        <w:tc>
          <w:tcPr>
            <w:tcW w:w="1935" w:type="dxa"/>
            <w:vAlign w:val="center"/>
          </w:tcPr>
          <w:p w14:paraId="4E7799CB" w14:textId="242B3BA4" w:rsidR="00F86D24" w:rsidRPr="00DF2488" w:rsidRDefault="00F86D24" w:rsidP="00040EC7">
            <w:pPr>
              <w:jc w:val="center"/>
              <w:rPr>
                <w:rFonts w:ascii="Garamond" w:hAnsi="Garamond" w:cstheme="minorHAnsi"/>
              </w:rPr>
            </w:pPr>
            <w:proofErr w:type="spellStart"/>
            <w:r w:rsidRPr="00DF2488">
              <w:rPr>
                <w:rFonts w:ascii="Garamond" w:hAnsi="Garamond" w:cstheme="minorHAnsi"/>
              </w:rPr>
              <w:t>celltype</w:t>
            </w:r>
            <w:proofErr w:type="spellEnd"/>
            <w:r w:rsidRPr="00DF2488">
              <w:rPr>
                <w:rFonts w:ascii="Garamond" w:hAnsi="Garamond" w:cstheme="minorHAnsi"/>
              </w:rPr>
              <w:t>=</w:t>
            </w:r>
            <w:proofErr w:type="spellStart"/>
            <w:r w:rsidRPr="00DF2488">
              <w:rPr>
                <w:rFonts w:ascii="Garamond" w:hAnsi="Garamond" w:cstheme="minorHAnsi"/>
              </w:rPr>
              <w:t>Smallcell</w:t>
            </w:r>
            <w:proofErr w:type="spellEnd"/>
          </w:p>
        </w:tc>
        <w:tc>
          <w:tcPr>
            <w:tcW w:w="524" w:type="dxa"/>
            <w:vAlign w:val="center"/>
          </w:tcPr>
          <w:p w14:paraId="5D53EB98" w14:textId="7778EFD9"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778200CE" w14:textId="73E41A79" w:rsidR="00F86D24" w:rsidRPr="00FD4268" w:rsidRDefault="00F86D24" w:rsidP="00040EC7">
            <w:pPr>
              <w:jc w:val="center"/>
              <w:rPr>
                <w:rFonts w:ascii="Garamond" w:hAnsi="Garamond" w:cstheme="minorHAnsi"/>
              </w:rPr>
            </w:pPr>
            <w:r w:rsidRPr="00FD4268">
              <w:rPr>
                <w:rFonts w:ascii="Garamond" w:hAnsi="Garamond" w:cstheme="minorHAnsi"/>
              </w:rPr>
              <w:t>0.75</w:t>
            </w:r>
          </w:p>
        </w:tc>
        <w:tc>
          <w:tcPr>
            <w:tcW w:w="1608" w:type="dxa"/>
            <w:vAlign w:val="center"/>
          </w:tcPr>
          <w:p w14:paraId="5165CFD4" w14:textId="6459E7BA" w:rsidR="00F86D24" w:rsidRPr="00FD4268" w:rsidRDefault="00F86D24" w:rsidP="00040EC7">
            <w:pPr>
              <w:jc w:val="center"/>
              <w:rPr>
                <w:rFonts w:ascii="Garamond" w:hAnsi="Garamond" w:cstheme="minorHAnsi"/>
              </w:rPr>
            </w:pPr>
            <w:r w:rsidRPr="00FD4268">
              <w:rPr>
                <w:rFonts w:ascii="Garamond" w:hAnsi="Garamond" w:cstheme="minorHAnsi"/>
              </w:rPr>
              <w:t>0.26</w:t>
            </w:r>
          </w:p>
        </w:tc>
        <w:tc>
          <w:tcPr>
            <w:tcW w:w="1350" w:type="dxa"/>
            <w:vAlign w:val="center"/>
          </w:tcPr>
          <w:p w14:paraId="49E2CE8F" w14:textId="07308721" w:rsidR="00F86D24" w:rsidRPr="00FD4268" w:rsidRDefault="00F86D24" w:rsidP="00040EC7">
            <w:pPr>
              <w:jc w:val="center"/>
              <w:rPr>
                <w:rFonts w:ascii="Garamond" w:hAnsi="Garamond" w:cstheme="minorHAnsi"/>
              </w:rPr>
            </w:pPr>
            <w:r w:rsidRPr="00FD4268">
              <w:rPr>
                <w:rFonts w:ascii="Garamond" w:hAnsi="Garamond" w:cstheme="minorHAnsi"/>
              </w:rPr>
              <w:t>8.20</w:t>
            </w:r>
          </w:p>
        </w:tc>
        <w:tc>
          <w:tcPr>
            <w:tcW w:w="900" w:type="dxa"/>
            <w:vAlign w:val="center"/>
          </w:tcPr>
          <w:p w14:paraId="1D1B15EC" w14:textId="2473B7E1" w:rsidR="00F86D24" w:rsidRPr="00FD4268" w:rsidRDefault="00F86D24" w:rsidP="00040EC7">
            <w:pPr>
              <w:jc w:val="center"/>
              <w:rPr>
                <w:rFonts w:ascii="Garamond" w:hAnsi="Garamond" w:cstheme="minorHAnsi"/>
              </w:rPr>
            </w:pPr>
            <w:r w:rsidRPr="00FD4268">
              <w:rPr>
                <w:rFonts w:ascii="Garamond" w:hAnsi="Garamond" w:cstheme="minorHAnsi"/>
              </w:rPr>
              <w:t>0.00</w:t>
            </w:r>
          </w:p>
        </w:tc>
        <w:tc>
          <w:tcPr>
            <w:tcW w:w="1975" w:type="dxa"/>
            <w:vAlign w:val="center"/>
          </w:tcPr>
          <w:p w14:paraId="3324CDA3" w14:textId="51D26FBF" w:rsidR="00F86D24" w:rsidRPr="00FD4268" w:rsidRDefault="00F86D24" w:rsidP="00040EC7">
            <w:pPr>
              <w:jc w:val="center"/>
              <w:rPr>
                <w:rFonts w:ascii="Garamond" w:hAnsi="Garamond" w:cstheme="minorHAnsi"/>
              </w:rPr>
            </w:pPr>
            <w:r w:rsidRPr="00FD4268">
              <w:rPr>
                <w:rFonts w:ascii="Garamond" w:hAnsi="Garamond" w:cstheme="minorHAnsi"/>
              </w:rPr>
              <w:t>2.11</w:t>
            </w:r>
          </w:p>
        </w:tc>
      </w:tr>
      <w:tr w:rsidR="00F86D24" w:rsidRPr="00FD4268" w14:paraId="0F5C3758" w14:textId="77777777" w:rsidTr="00040EC7">
        <w:tc>
          <w:tcPr>
            <w:tcW w:w="1935" w:type="dxa"/>
            <w:vAlign w:val="center"/>
          </w:tcPr>
          <w:p w14:paraId="422BBB41" w14:textId="299BB9A7" w:rsidR="00F86D24" w:rsidRPr="00DF2488" w:rsidRDefault="00F86D24" w:rsidP="00040EC7">
            <w:pPr>
              <w:jc w:val="center"/>
              <w:rPr>
                <w:rFonts w:ascii="Garamond" w:hAnsi="Garamond" w:cstheme="minorHAnsi"/>
              </w:rPr>
            </w:pPr>
            <w:proofErr w:type="spellStart"/>
            <w:r w:rsidRPr="00DF2488">
              <w:rPr>
                <w:rFonts w:ascii="Garamond" w:hAnsi="Garamond" w:cstheme="minorHAnsi"/>
              </w:rPr>
              <w:t>celltype</w:t>
            </w:r>
            <w:proofErr w:type="spellEnd"/>
            <w:r w:rsidRPr="00DF2488">
              <w:rPr>
                <w:rFonts w:ascii="Garamond" w:hAnsi="Garamond" w:cstheme="minorHAnsi"/>
              </w:rPr>
              <w:t>=Adeno</w:t>
            </w:r>
          </w:p>
        </w:tc>
        <w:tc>
          <w:tcPr>
            <w:tcW w:w="524" w:type="dxa"/>
            <w:vAlign w:val="center"/>
          </w:tcPr>
          <w:p w14:paraId="22BB90DF" w14:textId="75965196"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10B16FD7" w14:textId="65E74803" w:rsidR="00F86D24" w:rsidRPr="00FD4268" w:rsidRDefault="00F86D24" w:rsidP="00040EC7">
            <w:pPr>
              <w:jc w:val="center"/>
              <w:rPr>
                <w:rFonts w:ascii="Garamond" w:hAnsi="Garamond" w:cstheme="minorHAnsi"/>
              </w:rPr>
            </w:pPr>
            <w:r w:rsidRPr="00FD4268">
              <w:rPr>
                <w:rFonts w:ascii="Garamond" w:hAnsi="Garamond" w:cstheme="minorHAnsi"/>
              </w:rPr>
              <w:t>0.89</w:t>
            </w:r>
          </w:p>
        </w:tc>
        <w:tc>
          <w:tcPr>
            <w:tcW w:w="1608" w:type="dxa"/>
            <w:vAlign w:val="center"/>
          </w:tcPr>
          <w:p w14:paraId="021C40C2" w14:textId="655E0853" w:rsidR="00F86D24" w:rsidRPr="00FD4268" w:rsidRDefault="00F86D24" w:rsidP="00040EC7">
            <w:pPr>
              <w:jc w:val="center"/>
              <w:rPr>
                <w:rFonts w:ascii="Garamond" w:hAnsi="Garamond" w:cstheme="minorHAnsi"/>
              </w:rPr>
            </w:pPr>
            <w:r w:rsidRPr="00FD4268">
              <w:rPr>
                <w:rFonts w:ascii="Garamond" w:hAnsi="Garamond" w:cstheme="minorHAnsi"/>
              </w:rPr>
              <w:t>0.30</w:t>
            </w:r>
          </w:p>
        </w:tc>
        <w:tc>
          <w:tcPr>
            <w:tcW w:w="1350" w:type="dxa"/>
            <w:vAlign w:val="center"/>
          </w:tcPr>
          <w:p w14:paraId="10ED080E" w14:textId="6EA2FE83" w:rsidR="00F86D24" w:rsidRPr="00FD4268" w:rsidRDefault="00F86D24" w:rsidP="00040EC7">
            <w:pPr>
              <w:jc w:val="center"/>
              <w:rPr>
                <w:rFonts w:ascii="Garamond" w:hAnsi="Garamond" w:cstheme="minorHAnsi"/>
              </w:rPr>
            </w:pPr>
            <w:r w:rsidRPr="00FD4268">
              <w:rPr>
                <w:rFonts w:ascii="Garamond" w:hAnsi="Garamond" w:cstheme="minorHAnsi"/>
              </w:rPr>
              <w:t>9.08</w:t>
            </w:r>
          </w:p>
        </w:tc>
        <w:tc>
          <w:tcPr>
            <w:tcW w:w="900" w:type="dxa"/>
            <w:vAlign w:val="center"/>
          </w:tcPr>
          <w:p w14:paraId="705AAFB1" w14:textId="77092C5E" w:rsidR="00F86D24" w:rsidRPr="00FD4268" w:rsidRDefault="00F86D24" w:rsidP="00040EC7">
            <w:pPr>
              <w:jc w:val="center"/>
              <w:rPr>
                <w:rFonts w:ascii="Garamond" w:hAnsi="Garamond" w:cstheme="minorHAnsi"/>
              </w:rPr>
            </w:pPr>
            <w:r w:rsidRPr="00FD4268">
              <w:rPr>
                <w:rFonts w:ascii="Garamond" w:hAnsi="Garamond" w:cstheme="minorHAnsi"/>
              </w:rPr>
              <w:t>0.00</w:t>
            </w:r>
          </w:p>
        </w:tc>
        <w:tc>
          <w:tcPr>
            <w:tcW w:w="1975" w:type="dxa"/>
            <w:vAlign w:val="center"/>
          </w:tcPr>
          <w:p w14:paraId="62130964" w14:textId="5AC3B2D5" w:rsidR="00F86D24" w:rsidRPr="00FD4268" w:rsidRDefault="00F86D24" w:rsidP="00040EC7">
            <w:pPr>
              <w:jc w:val="center"/>
              <w:rPr>
                <w:rFonts w:ascii="Garamond" w:hAnsi="Garamond" w:cstheme="minorHAnsi"/>
              </w:rPr>
            </w:pPr>
            <w:r w:rsidRPr="00FD4268">
              <w:rPr>
                <w:rFonts w:ascii="Garamond" w:hAnsi="Garamond" w:cstheme="minorHAnsi"/>
              </w:rPr>
              <w:t>2.44</w:t>
            </w:r>
          </w:p>
        </w:tc>
      </w:tr>
      <w:tr w:rsidR="00F86D24" w:rsidRPr="00FD4268" w14:paraId="19D85A1B" w14:textId="77777777" w:rsidTr="00040EC7">
        <w:tc>
          <w:tcPr>
            <w:tcW w:w="1935" w:type="dxa"/>
            <w:vAlign w:val="center"/>
          </w:tcPr>
          <w:p w14:paraId="5FC3E1AA" w14:textId="08DD2987" w:rsidR="00F86D24" w:rsidRPr="00DF2488" w:rsidRDefault="00F86D24" w:rsidP="00040EC7">
            <w:pPr>
              <w:jc w:val="center"/>
              <w:rPr>
                <w:rFonts w:ascii="Garamond" w:hAnsi="Garamond" w:cstheme="minorHAnsi"/>
              </w:rPr>
            </w:pPr>
            <w:proofErr w:type="spellStart"/>
            <w:r w:rsidRPr="00DF2488">
              <w:rPr>
                <w:rFonts w:ascii="Garamond" w:hAnsi="Garamond" w:cstheme="minorHAnsi"/>
              </w:rPr>
              <w:t>diagtime</w:t>
            </w:r>
            <w:proofErr w:type="spellEnd"/>
          </w:p>
        </w:tc>
        <w:tc>
          <w:tcPr>
            <w:tcW w:w="524" w:type="dxa"/>
            <w:vAlign w:val="center"/>
          </w:tcPr>
          <w:p w14:paraId="78B52786" w14:textId="22C4EE24"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58BA27AE" w14:textId="4DF04F0D" w:rsidR="00F86D24" w:rsidRPr="00FD4268" w:rsidRDefault="00F86D24" w:rsidP="00040EC7">
            <w:pPr>
              <w:jc w:val="center"/>
              <w:rPr>
                <w:rFonts w:ascii="Garamond" w:hAnsi="Garamond" w:cstheme="minorHAnsi"/>
              </w:rPr>
            </w:pPr>
            <w:r w:rsidRPr="00FD4268">
              <w:rPr>
                <w:rFonts w:ascii="Garamond" w:hAnsi="Garamond" w:cstheme="minorHAnsi"/>
              </w:rPr>
              <w:t>0.01</w:t>
            </w:r>
          </w:p>
        </w:tc>
        <w:tc>
          <w:tcPr>
            <w:tcW w:w="1608" w:type="dxa"/>
            <w:vAlign w:val="center"/>
          </w:tcPr>
          <w:p w14:paraId="78911C8B" w14:textId="3533272F" w:rsidR="00F86D24" w:rsidRPr="00FD4268" w:rsidRDefault="00F86D24" w:rsidP="00040EC7">
            <w:pPr>
              <w:jc w:val="center"/>
              <w:rPr>
                <w:rFonts w:ascii="Garamond" w:hAnsi="Garamond" w:cstheme="minorHAnsi"/>
              </w:rPr>
            </w:pPr>
            <w:r w:rsidRPr="00FD4268">
              <w:rPr>
                <w:rFonts w:ascii="Garamond" w:hAnsi="Garamond" w:cstheme="minorHAnsi"/>
              </w:rPr>
              <w:t>0.01</w:t>
            </w:r>
          </w:p>
        </w:tc>
        <w:tc>
          <w:tcPr>
            <w:tcW w:w="1350" w:type="dxa"/>
            <w:vAlign w:val="center"/>
          </w:tcPr>
          <w:p w14:paraId="7200F4A2" w14:textId="07B0F889" w:rsidR="00F86D24" w:rsidRPr="00FD4268" w:rsidRDefault="00F86D24" w:rsidP="00040EC7">
            <w:pPr>
              <w:jc w:val="center"/>
              <w:rPr>
                <w:rFonts w:ascii="Garamond" w:hAnsi="Garamond" w:cstheme="minorHAnsi"/>
              </w:rPr>
            </w:pPr>
            <w:r w:rsidRPr="00FD4268">
              <w:rPr>
                <w:rFonts w:ascii="Garamond" w:hAnsi="Garamond" w:cstheme="minorHAnsi"/>
              </w:rPr>
              <w:t>1.16</w:t>
            </w:r>
          </w:p>
        </w:tc>
        <w:tc>
          <w:tcPr>
            <w:tcW w:w="900" w:type="dxa"/>
            <w:vAlign w:val="center"/>
          </w:tcPr>
          <w:p w14:paraId="29B5D9AC" w14:textId="7CC14413" w:rsidR="00F86D24" w:rsidRPr="00FD4268" w:rsidRDefault="00F86D24" w:rsidP="00040EC7">
            <w:pPr>
              <w:jc w:val="center"/>
              <w:rPr>
                <w:rFonts w:ascii="Garamond" w:hAnsi="Garamond" w:cstheme="minorHAnsi"/>
              </w:rPr>
            </w:pPr>
            <w:r w:rsidRPr="00FD4268">
              <w:rPr>
                <w:rFonts w:ascii="Garamond" w:hAnsi="Garamond" w:cstheme="minorHAnsi"/>
              </w:rPr>
              <w:t>0.28</w:t>
            </w:r>
          </w:p>
        </w:tc>
        <w:tc>
          <w:tcPr>
            <w:tcW w:w="1975" w:type="dxa"/>
            <w:vAlign w:val="center"/>
          </w:tcPr>
          <w:p w14:paraId="406C67D6" w14:textId="3722E078" w:rsidR="00F86D24" w:rsidRPr="00FD4268" w:rsidRDefault="00F86D24" w:rsidP="00040EC7">
            <w:pPr>
              <w:jc w:val="center"/>
              <w:rPr>
                <w:rFonts w:ascii="Garamond" w:hAnsi="Garamond" w:cstheme="minorHAnsi"/>
              </w:rPr>
            </w:pPr>
            <w:r w:rsidRPr="00FD4268">
              <w:rPr>
                <w:rFonts w:ascii="Garamond" w:hAnsi="Garamond" w:cstheme="minorHAnsi"/>
              </w:rPr>
              <w:t>1.01</w:t>
            </w:r>
          </w:p>
        </w:tc>
      </w:tr>
      <w:tr w:rsidR="00F86D24" w:rsidRPr="00FD4268" w14:paraId="560220A1" w14:textId="77777777" w:rsidTr="00040EC7">
        <w:tc>
          <w:tcPr>
            <w:tcW w:w="1935" w:type="dxa"/>
            <w:vAlign w:val="center"/>
          </w:tcPr>
          <w:p w14:paraId="1C057DBA" w14:textId="240BFEE1" w:rsidR="00F86D24" w:rsidRPr="00DF2488" w:rsidRDefault="00F86D24" w:rsidP="00040EC7">
            <w:pPr>
              <w:jc w:val="center"/>
              <w:rPr>
                <w:rFonts w:ascii="Garamond" w:hAnsi="Garamond" w:cstheme="minorHAnsi"/>
              </w:rPr>
            </w:pPr>
            <w:r w:rsidRPr="00DF2488">
              <w:rPr>
                <w:rFonts w:ascii="Garamond" w:hAnsi="Garamond" w:cstheme="minorHAnsi"/>
              </w:rPr>
              <w:t>age</w:t>
            </w:r>
          </w:p>
        </w:tc>
        <w:tc>
          <w:tcPr>
            <w:tcW w:w="524" w:type="dxa"/>
            <w:vAlign w:val="center"/>
          </w:tcPr>
          <w:p w14:paraId="19B4F9BA" w14:textId="77F09E49"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4EDD0E0A" w14:textId="0CBB1AA2" w:rsidR="00F86D24" w:rsidRPr="00FD4268" w:rsidRDefault="00F86D24" w:rsidP="00040EC7">
            <w:pPr>
              <w:jc w:val="center"/>
              <w:rPr>
                <w:rFonts w:ascii="Garamond" w:hAnsi="Garamond" w:cstheme="minorHAnsi"/>
              </w:rPr>
            </w:pPr>
            <w:r w:rsidRPr="00FD4268">
              <w:rPr>
                <w:rFonts w:ascii="Garamond" w:hAnsi="Garamond" w:cstheme="minorHAnsi"/>
              </w:rPr>
              <w:t>0.00</w:t>
            </w:r>
          </w:p>
        </w:tc>
        <w:tc>
          <w:tcPr>
            <w:tcW w:w="1608" w:type="dxa"/>
            <w:vAlign w:val="center"/>
          </w:tcPr>
          <w:p w14:paraId="11707BB0" w14:textId="131A919A" w:rsidR="00F86D24" w:rsidRPr="00FD4268" w:rsidRDefault="00F86D24" w:rsidP="00040EC7">
            <w:pPr>
              <w:jc w:val="center"/>
              <w:rPr>
                <w:rFonts w:ascii="Garamond" w:hAnsi="Garamond" w:cstheme="minorHAnsi"/>
              </w:rPr>
            </w:pPr>
            <w:r w:rsidRPr="00FD4268">
              <w:rPr>
                <w:rFonts w:ascii="Garamond" w:hAnsi="Garamond" w:cstheme="minorHAnsi"/>
              </w:rPr>
              <w:t>0.01</w:t>
            </w:r>
          </w:p>
        </w:tc>
        <w:tc>
          <w:tcPr>
            <w:tcW w:w="1350" w:type="dxa"/>
            <w:vAlign w:val="center"/>
          </w:tcPr>
          <w:p w14:paraId="2345D18D" w14:textId="5DB9E0C0" w:rsidR="00F86D24" w:rsidRPr="00FD4268" w:rsidRDefault="00F86D24" w:rsidP="00040EC7">
            <w:pPr>
              <w:jc w:val="center"/>
              <w:rPr>
                <w:rFonts w:ascii="Garamond" w:hAnsi="Garamond" w:cstheme="minorHAnsi"/>
              </w:rPr>
            </w:pPr>
            <w:r w:rsidRPr="00FD4268">
              <w:rPr>
                <w:rFonts w:ascii="Garamond" w:hAnsi="Garamond" w:cstheme="minorHAnsi"/>
              </w:rPr>
              <w:t>0.26</w:t>
            </w:r>
          </w:p>
        </w:tc>
        <w:tc>
          <w:tcPr>
            <w:tcW w:w="900" w:type="dxa"/>
            <w:vAlign w:val="center"/>
          </w:tcPr>
          <w:p w14:paraId="4884D40E" w14:textId="72A50AA3" w:rsidR="00F86D24" w:rsidRPr="00FD4268" w:rsidRDefault="00F86D24" w:rsidP="00040EC7">
            <w:pPr>
              <w:jc w:val="center"/>
              <w:rPr>
                <w:rFonts w:ascii="Garamond" w:hAnsi="Garamond" w:cstheme="minorHAnsi"/>
              </w:rPr>
            </w:pPr>
            <w:r w:rsidRPr="00FD4268">
              <w:rPr>
                <w:rFonts w:ascii="Garamond" w:hAnsi="Garamond" w:cstheme="minorHAnsi"/>
              </w:rPr>
              <w:t>0.61</w:t>
            </w:r>
          </w:p>
        </w:tc>
        <w:tc>
          <w:tcPr>
            <w:tcW w:w="1975" w:type="dxa"/>
            <w:vAlign w:val="center"/>
          </w:tcPr>
          <w:p w14:paraId="2AC80204" w14:textId="01953F06" w:rsidR="00F86D24" w:rsidRPr="00FD4268" w:rsidRDefault="00F86D24" w:rsidP="00040EC7">
            <w:pPr>
              <w:jc w:val="center"/>
              <w:rPr>
                <w:rFonts w:ascii="Garamond" w:hAnsi="Garamond" w:cstheme="minorHAnsi"/>
              </w:rPr>
            </w:pPr>
            <w:r w:rsidRPr="00FD4268">
              <w:rPr>
                <w:rFonts w:ascii="Garamond" w:hAnsi="Garamond" w:cstheme="minorHAnsi"/>
              </w:rPr>
              <w:t>1.01</w:t>
            </w:r>
          </w:p>
        </w:tc>
      </w:tr>
      <w:tr w:rsidR="00F86D24" w:rsidRPr="00FD4268" w14:paraId="2100AC21" w14:textId="77777777" w:rsidTr="00040EC7">
        <w:tc>
          <w:tcPr>
            <w:tcW w:w="1935" w:type="dxa"/>
            <w:vAlign w:val="center"/>
          </w:tcPr>
          <w:p w14:paraId="2AAA9DC7" w14:textId="71102C2C" w:rsidR="00F86D24" w:rsidRPr="00DF2488" w:rsidRDefault="005575E4" w:rsidP="00040EC7">
            <w:pPr>
              <w:jc w:val="center"/>
              <w:rPr>
                <w:rFonts w:ascii="Garamond" w:hAnsi="Garamond" w:cstheme="minorHAnsi"/>
              </w:rPr>
            </w:pPr>
            <w:r w:rsidRPr="00DF2488">
              <w:rPr>
                <w:rFonts w:ascii="Garamond" w:hAnsi="Garamond" w:cstheme="minorHAnsi"/>
              </w:rPr>
              <w:t>p</w:t>
            </w:r>
            <w:r w:rsidR="00F86D24" w:rsidRPr="00DF2488">
              <w:rPr>
                <w:rFonts w:ascii="Garamond" w:hAnsi="Garamond" w:cstheme="minorHAnsi"/>
              </w:rPr>
              <w:t>rior=No Prior</w:t>
            </w:r>
          </w:p>
        </w:tc>
        <w:tc>
          <w:tcPr>
            <w:tcW w:w="524" w:type="dxa"/>
            <w:vAlign w:val="center"/>
          </w:tcPr>
          <w:p w14:paraId="6E73943C" w14:textId="64F55419" w:rsidR="00F86D24" w:rsidRPr="00FD4268" w:rsidRDefault="00F86D24" w:rsidP="00040EC7">
            <w:pPr>
              <w:jc w:val="center"/>
              <w:rPr>
                <w:rFonts w:ascii="Garamond" w:hAnsi="Garamond" w:cstheme="minorHAnsi"/>
              </w:rPr>
            </w:pPr>
            <w:r w:rsidRPr="00FD4268">
              <w:rPr>
                <w:rFonts w:ascii="Garamond" w:hAnsi="Garamond" w:cstheme="minorHAnsi"/>
              </w:rPr>
              <w:t>1</w:t>
            </w:r>
          </w:p>
        </w:tc>
        <w:tc>
          <w:tcPr>
            <w:tcW w:w="1058" w:type="dxa"/>
            <w:vAlign w:val="center"/>
          </w:tcPr>
          <w:p w14:paraId="630AC3CC" w14:textId="7B6F2D5E" w:rsidR="00F86D24" w:rsidRPr="00FD4268" w:rsidRDefault="00F86D24" w:rsidP="00040EC7">
            <w:pPr>
              <w:jc w:val="center"/>
              <w:rPr>
                <w:rFonts w:ascii="Garamond" w:hAnsi="Garamond" w:cstheme="minorHAnsi"/>
              </w:rPr>
            </w:pPr>
            <w:r w:rsidRPr="00FD4268">
              <w:rPr>
                <w:rFonts w:ascii="Garamond" w:hAnsi="Garamond" w:cstheme="minorHAnsi"/>
              </w:rPr>
              <w:t>0.07</w:t>
            </w:r>
          </w:p>
        </w:tc>
        <w:tc>
          <w:tcPr>
            <w:tcW w:w="1608" w:type="dxa"/>
            <w:vAlign w:val="center"/>
          </w:tcPr>
          <w:p w14:paraId="2F0648A5" w14:textId="3704196A" w:rsidR="00F86D24" w:rsidRPr="00FD4268" w:rsidRDefault="00F86D24" w:rsidP="00040EC7">
            <w:pPr>
              <w:jc w:val="center"/>
              <w:rPr>
                <w:rFonts w:ascii="Garamond" w:hAnsi="Garamond" w:cstheme="minorHAnsi"/>
              </w:rPr>
            </w:pPr>
            <w:r w:rsidRPr="00FD4268">
              <w:rPr>
                <w:rFonts w:ascii="Garamond" w:hAnsi="Garamond" w:cstheme="minorHAnsi"/>
              </w:rPr>
              <w:t>0.23</w:t>
            </w:r>
          </w:p>
        </w:tc>
        <w:tc>
          <w:tcPr>
            <w:tcW w:w="1350" w:type="dxa"/>
            <w:vAlign w:val="center"/>
          </w:tcPr>
          <w:p w14:paraId="1F1DAC1F" w14:textId="316696E1" w:rsidR="00F86D24" w:rsidRPr="00FD4268" w:rsidRDefault="00F86D24" w:rsidP="00040EC7">
            <w:pPr>
              <w:jc w:val="center"/>
              <w:rPr>
                <w:rFonts w:ascii="Garamond" w:hAnsi="Garamond" w:cstheme="minorHAnsi"/>
              </w:rPr>
            </w:pPr>
            <w:r w:rsidRPr="00FD4268">
              <w:rPr>
                <w:rFonts w:ascii="Garamond" w:hAnsi="Garamond" w:cstheme="minorHAnsi"/>
              </w:rPr>
              <w:t>0.08</w:t>
            </w:r>
          </w:p>
        </w:tc>
        <w:tc>
          <w:tcPr>
            <w:tcW w:w="900" w:type="dxa"/>
            <w:vAlign w:val="center"/>
          </w:tcPr>
          <w:p w14:paraId="5060F45B" w14:textId="318EC67D" w:rsidR="00F86D24" w:rsidRPr="00FD4268" w:rsidRDefault="00F86D24" w:rsidP="00040EC7">
            <w:pPr>
              <w:jc w:val="center"/>
              <w:rPr>
                <w:rFonts w:ascii="Garamond" w:hAnsi="Garamond" w:cstheme="minorHAnsi"/>
              </w:rPr>
            </w:pPr>
            <w:r w:rsidRPr="00FD4268">
              <w:rPr>
                <w:rFonts w:ascii="Garamond" w:hAnsi="Garamond" w:cstheme="minorHAnsi"/>
              </w:rPr>
              <w:t>0.77</w:t>
            </w:r>
          </w:p>
        </w:tc>
        <w:tc>
          <w:tcPr>
            <w:tcW w:w="1975" w:type="dxa"/>
            <w:vAlign w:val="center"/>
          </w:tcPr>
          <w:p w14:paraId="328B31C2" w14:textId="141EBC00" w:rsidR="00F86D24" w:rsidRPr="00FD4268" w:rsidRDefault="00F86D24" w:rsidP="00040EC7">
            <w:pPr>
              <w:jc w:val="center"/>
              <w:rPr>
                <w:rFonts w:ascii="Garamond" w:hAnsi="Garamond" w:cstheme="minorHAnsi"/>
              </w:rPr>
            </w:pPr>
            <w:r w:rsidRPr="00FD4268">
              <w:rPr>
                <w:rFonts w:ascii="Garamond" w:hAnsi="Garamond" w:cstheme="minorHAnsi"/>
              </w:rPr>
              <w:t>1.07</w:t>
            </w:r>
          </w:p>
        </w:tc>
      </w:tr>
    </w:tbl>
    <w:p w14:paraId="76F88783" w14:textId="77777777" w:rsidR="00F86D24" w:rsidRPr="00FD4268" w:rsidRDefault="00F86D24" w:rsidP="00EB7C13">
      <w:pPr>
        <w:spacing w:after="0"/>
        <w:rPr>
          <w:rFonts w:ascii="Garamond" w:hAnsi="Garamond" w:cstheme="minorHAnsi"/>
        </w:rPr>
      </w:pPr>
    </w:p>
    <w:p w14:paraId="5A6561EA" w14:textId="608B72AB" w:rsidR="005575E4" w:rsidRPr="00FD4268" w:rsidRDefault="00466D41" w:rsidP="00DF2488">
      <w:pPr>
        <w:spacing w:after="120"/>
        <w:rPr>
          <w:rFonts w:ascii="Garamond" w:hAnsi="Garamond" w:cstheme="minorHAnsi"/>
        </w:rPr>
      </w:pPr>
      <w:r w:rsidRPr="00FD4268">
        <w:rPr>
          <w:rFonts w:ascii="Garamond" w:hAnsi="Garamond" w:cstheme="minorHAnsi"/>
        </w:rPr>
        <w:lastRenderedPageBreak/>
        <w:t xml:space="preserve">The chi-square values reported above reflect the Wald test statistic and the p-value results from comparing the Wald statistic to a chi-square distribution with one degree of freedom (and thus reflect the results from a Wald test). </w:t>
      </w:r>
    </w:p>
    <w:p w14:paraId="03388EA4" w14:textId="60BAEBD3" w:rsidR="005575E4" w:rsidRPr="00FD4268" w:rsidRDefault="005575E4" w:rsidP="00DF2488">
      <w:pPr>
        <w:spacing w:after="120"/>
        <w:rPr>
          <w:rFonts w:ascii="Garamond" w:hAnsi="Garamond" w:cstheme="minorHAnsi"/>
        </w:rPr>
      </w:pPr>
      <w:r w:rsidRPr="00FD4268">
        <w:rPr>
          <w:rFonts w:ascii="Garamond" w:hAnsi="Garamond" w:cstheme="minorHAnsi"/>
        </w:rPr>
        <w:t>The full model thus takes the form:</w:t>
      </w:r>
    </w:p>
    <w:p w14:paraId="2BC4CD05" w14:textId="3EBF7240" w:rsidR="005575E4" w:rsidRPr="00FD4268" w:rsidRDefault="005575E4" w:rsidP="005575E4">
      <w:pPr>
        <w:spacing w:after="0"/>
        <w:rPr>
          <w:rFonts w:ascii="Garamond" w:hAnsi="Garamond"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m:rPr>
              <m:sty m:val="p"/>
            </m:rPr>
            <w:rPr>
              <w:rFonts w:ascii="Cambria Math" w:hAnsi="Cambria Math" w:cstheme="minorHAnsi"/>
            </w:rPr>
            <m:t>exp⁡</m:t>
          </m:r>
          <m:r>
            <w:rPr>
              <w:rFonts w:ascii="Cambria Math" w:hAnsi="Cambria Math" w:cstheme="minorHAnsi"/>
            </w:rPr>
            <m:t>(-0.16trtStandard-0.29celltypeSquamous+0.75celltypeSmallcell+0.89celltypeAdeno + 0.01diagtime+0.00age +0.07priorNoPrior)</m:t>
          </m:r>
        </m:oMath>
      </m:oMathPara>
    </w:p>
    <w:p w14:paraId="72E09961" w14:textId="7DF5F875" w:rsidR="00A32F01" w:rsidRPr="00FD4268" w:rsidRDefault="00A32F01" w:rsidP="00DF2488">
      <w:pPr>
        <w:spacing w:before="120" w:after="120"/>
        <w:rPr>
          <w:rFonts w:ascii="Garamond" w:hAnsi="Garamond" w:cstheme="minorHAnsi"/>
        </w:rPr>
      </w:pPr>
      <w:r w:rsidRPr="00FD4268">
        <w:rPr>
          <w:rFonts w:ascii="Garamond" w:hAnsi="Garamond" w:cstheme="minorHAnsi"/>
        </w:rPr>
        <w:t>This output can be interpreted as follows:</w:t>
      </w:r>
    </w:p>
    <w:p w14:paraId="3268E1E7" w14:textId="15101C68" w:rsidR="00A32F01" w:rsidRPr="00FD4268" w:rsidRDefault="00A32F01" w:rsidP="00DF2488">
      <w:pPr>
        <w:spacing w:after="60"/>
        <w:ind w:left="288"/>
        <w:rPr>
          <w:rFonts w:ascii="Garamond" w:hAnsi="Garamond" w:cstheme="minorHAnsi"/>
        </w:rPr>
      </w:pPr>
      <w:r w:rsidRPr="00FD4268">
        <w:rPr>
          <w:rFonts w:ascii="Garamond" w:hAnsi="Garamond" w:cstheme="minorHAnsi"/>
        </w:rPr>
        <w:t>1. The risk of death for patients given the standard lung cancer therapy is 0.</w:t>
      </w:r>
      <w:r w:rsidR="00F86D24" w:rsidRPr="00FD4268">
        <w:rPr>
          <w:rFonts w:ascii="Garamond" w:hAnsi="Garamond" w:cstheme="minorHAnsi"/>
        </w:rPr>
        <w:t>8</w:t>
      </w:r>
      <w:r w:rsidRPr="00FD4268">
        <w:rPr>
          <w:rFonts w:ascii="Garamond" w:hAnsi="Garamond" w:cstheme="minorHAnsi"/>
        </w:rPr>
        <w:t>5 times the risk of death for patients given the test chemotherapy.</w:t>
      </w:r>
    </w:p>
    <w:p w14:paraId="72DB3914" w14:textId="79123BD1" w:rsidR="000A42EF" w:rsidRPr="00FD4268" w:rsidRDefault="00A32F01" w:rsidP="00DF2488">
      <w:pPr>
        <w:spacing w:after="60"/>
        <w:ind w:left="288"/>
        <w:rPr>
          <w:rFonts w:ascii="Garamond" w:hAnsi="Garamond" w:cstheme="minorHAnsi"/>
        </w:rPr>
      </w:pPr>
      <w:r w:rsidRPr="00FD4268">
        <w:rPr>
          <w:rFonts w:ascii="Garamond" w:hAnsi="Garamond" w:cstheme="minorHAnsi"/>
        </w:rPr>
        <w:t xml:space="preserve">2. The risk of death for patients </w:t>
      </w:r>
      <w:r w:rsidR="000A42EF" w:rsidRPr="00FD4268">
        <w:rPr>
          <w:rFonts w:ascii="Garamond" w:hAnsi="Garamond" w:cstheme="minorHAnsi"/>
        </w:rPr>
        <w:t>with squamous tumor cells is 0.7</w:t>
      </w:r>
      <w:r w:rsidR="00F86D24" w:rsidRPr="00FD4268">
        <w:rPr>
          <w:rFonts w:ascii="Garamond" w:hAnsi="Garamond" w:cstheme="minorHAnsi"/>
        </w:rPr>
        <w:t>5</w:t>
      </w:r>
      <w:r w:rsidR="000A42EF" w:rsidRPr="00FD4268">
        <w:rPr>
          <w:rFonts w:ascii="Garamond" w:hAnsi="Garamond" w:cstheme="minorHAnsi"/>
        </w:rPr>
        <w:t xml:space="preserve"> times the risk of death for the reference group (patients with large tumor cells). </w:t>
      </w:r>
    </w:p>
    <w:p w14:paraId="6F604647" w14:textId="7201A2FB" w:rsidR="000A42EF" w:rsidRPr="00FD4268" w:rsidRDefault="000A42EF" w:rsidP="00DF2488">
      <w:pPr>
        <w:ind w:left="288"/>
        <w:rPr>
          <w:rFonts w:ascii="Garamond" w:hAnsi="Garamond" w:cstheme="minorHAnsi"/>
        </w:rPr>
      </w:pPr>
      <w:r w:rsidRPr="00FD4268">
        <w:rPr>
          <w:rFonts w:ascii="Garamond" w:hAnsi="Garamond" w:cstheme="minorHAnsi"/>
        </w:rPr>
        <w:t xml:space="preserve">3. The risk of death for patients with </w:t>
      </w:r>
      <w:proofErr w:type="spellStart"/>
      <w:r w:rsidRPr="00FD4268">
        <w:rPr>
          <w:rFonts w:ascii="Garamond" w:hAnsi="Garamond" w:cstheme="minorHAnsi"/>
        </w:rPr>
        <w:t>smallcell</w:t>
      </w:r>
      <w:proofErr w:type="spellEnd"/>
      <w:r w:rsidRPr="00FD4268">
        <w:rPr>
          <w:rFonts w:ascii="Garamond" w:hAnsi="Garamond" w:cstheme="minorHAnsi"/>
        </w:rPr>
        <w:t xml:space="preserve"> tumor cells is </w:t>
      </w:r>
      <w:r w:rsidR="00F86D24" w:rsidRPr="00FD4268">
        <w:rPr>
          <w:rFonts w:ascii="Garamond" w:hAnsi="Garamond" w:cstheme="minorHAnsi"/>
        </w:rPr>
        <w:t>2.11</w:t>
      </w:r>
      <w:r w:rsidRPr="00FD4268">
        <w:rPr>
          <w:rFonts w:ascii="Garamond" w:hAnsi="Garamond" w:cstheme="minorHAnsi"/>
        </w:rPr>
        <w:t xml:space="preserve"> times the risk of death for the reference group (patients with large tumor cells).</w:t>
      </w:r>
    </w:p>
    <w:p w14:paraId="5C510C52" w14:textId="6ADFF612" w:rsidR="000A42EF" w:rsidRPr="00FD4268" w:rsidRDefault="000A42EF" w:rsidP="00DF2488">
      <w:pPr>
        <w:spacing w:after="60"/>
        <w:ind w:left="288"/>
        <w:rPr>
          <w:rFonts w:ascii="Garamond" w:hAnsi="Garamond" w:cstheme="minorHAnsi"/>
        </w:rPr>
      </w:pPr>
      <w:r w:rsidRPr="00FD4268">
        <w:rPr>
          <w:rFonts w:ascii="Garamond" w:hAnsi="Garamond" w:cstheme="minorHAnsi"/>
        </w:rPr>
        <w:t>4. The risk of death for patients with adeno tumor cells is 2.</w:t>
      </w:r>
      <w:r w:rsidR="00F86D24" w:rsidRPr="00FD4268">
        <w:rPr>
          <w:rFonts w:ascii="Garamond" w:hAnsi="Garamond" w:cstheme="minorHAnsi"/>
        </w:rPr>
        <w:t>44</w:t>
      </w:r>
      <w:r w:rsidRPr="00FD4268">
        <w:rPr>
          <w:rFonts w:ascii="Garamond" w:hAnsi="Garamond" w:cstheme="minorHAnsi"/>
        </w:rPr>
        <w:t xml:space="preserve"> times the risk of death for</w:t>
      </w:r>
      <w:r w:rsidR="00B53322" w:rsidRPr="00FD4268">
        <w:rPr>
          <w:rFonts w:ascii="Garamond" w:hAnsi="Garamond" w:cstheme="minorHAnsi"/>
        </w:rPr>
        <w:t xml:space="preserve"> the reference group (patients with large tumor cells).</w:t>
      </w:r>
    </w:p>
    <w:p w14:paraId="40B3ABDD" w14:textId="08C299EB" w:rsidR="00BF5F6A" w:rsidRPr="00FD4268" w:rsidRDefault="00F86D24" w:rsidP="00DF2488">
      <w:pPr>
        <w:spacing w:after="60"/>
        <w:ind w:left="288"/>
        <w:rPr>
          <w:rFonts w:ascii="Garamond" w:hAnsi="Garamond" w:cstheme="minorHAnsi"/>
        </w:rPr>
      </w:pPr>
      <w:r w:rsidRPr="00FD4268">
        <w:rPr>
          <w:rFonts w:ascii="Garamond" w:hAnsi="Garamond" w:cstheme="minorHAnsi"/>
        </w:rPr>
        <w:t>5</w:t>
      </w:r>
      <w:r w:rsidR="00BF5F6A" w:rsidRPr="00FD4268">
        <w:rPr>
          <w:rFonts w:ascii="Garamond" w:hAnsi="Garamond" w:cstheme="minorHAnsi"/>
        </w:rPr>
        <w:t xml:space="preserve">. A one-unit increase in the value of </w:t>
      </w:r>
      <w:proofErr w:type="spellStart"/>
      <w:r w:rsidR="00BF5F6A" w:rsidRPr="00FD4268">
        <w:rPr>
          <w:rFonts w:ascii="Garamond" w:hAnsi="Garamond" w:cstheme="minorHAnsi"/>
          <w:i/>
        </w:rPr>
        <w:t>diagtime</w:t>
      </w:r>
      <w:proofErr w:type="spellEnd"/>
      <w:r w:rsidR="00BF5F6A" w:rsidRPr="00FD4268">
        <w:rPr>
          <w:rFonts w:ascii="Garamond" w:hAnsi="Garamond" w:cstheme="minorHAnsi"/>
        </w:rPr>
        <w:t xml:space="preserve"> results</w:t>
      </w:r>
      <w:r w:rsidRPr="00FD4268">
        <w:rPr>
          <w:rFonts w:ascii="Garamond" w:hAnsi="Garamond" w:cstheme="minorHAnsi"/>
        </w:rPr>
        <w:t xml:space="preserve"> an increase in </w:t>
      </w:r>
      <w:r w:rsidR="00966C8C" w:rsidRPr="00FD4268">
        <w:rPr>
          <w:rFonts w:ascii="Garamond" w:hAnsi="Garamond" w:cstheme="minorHAnsi"/>
        </w:rPr>
        <w:t>the risk of death</w:t>
      </w:r>
      <w:r w:rsidRPr="00FD4268">
        <w:rPr>
          <w:rFonts w:ascii="Garamond" w:hAnsi="Garamond" w:cstheme="minorHAnsi"/>
        </w:rPr>
        <w:t xml:space="preserve"> by 1%</w:t>
      </w:r>
      <w:r w:rsidR="00966C8C" w:rsidRPr="00FD4268">
        <w:rPr>
          <w:rFonts w:ascii="Garamond" w:hAnsi="Garamond" w:cstheme="minorHAnsi"/>
        </w:rPr>
        <w:t xml:space="preserve"> (1.0</w:t>
      </w:r>
      <w:r w:rsidRPr="00FD4268">
        <w:rPr>
          <w:rFonts w:ascii="Garamond" w:hAnsi="Garamond" w:cstheme="minorHAnsi"/>
        </w:rPr>
        <w:t>1</w:t>
      </w:r>
      <w:r w:rsidR="00966C8C" w:rsidRPr="00FD4268">
        <w:rPr>
          <w:rFonts w:ascii="Garamond" w:hAnsi="Garamond" w:cstheme="minorHAnsi"/>
        </w:rPr>
        <w:t>-1.0</w:t>
      </w:r>
      <w:r w:rsidRPr="00FD4268">
        <w:rPr>
          <w:rFonts w:ascii="Garamond" w:hAnsi="Garamond" w:cstheme="minorHAnsi"/>
        </w:rPr>
        <w:t>1</w:t>
      </w:r>
      <w:r w:rsidR="00966C8C" w:rsidRPr="00FD4268">
        <w:rPr>
          <w:rFonts w:ascii="Garamond" w:hAnsi="Garamond" w:cstheme="minorHAnsi"/>
        </w:rPr>
        <w:t>=</w:t>
      </w:r>
      <w:r w:rsidRPr="00FD4268">
        <w:rPr>
          <w:rFonts w:ascii="Garamond" w:hAnsi="Garamond" w:cstheme="minorHAnsi"/>
        </w:rPr>
        <w:t>1</w:t>
      </w:r>
      <w:r w:rsidR="00966C8C" w:rsidRPr="00FD4268">
        <w:rPr>
          <w:rFonts w:ascii="Garamond" w:hAnsi="Garamond" w:cstheme="minorHAnsi"/>
        </w:rPr>
        <w:t>%).</w:t>
      </w:r>
    </w:p>
    <w:p w14:paraId="329D2CEE" w14:textId="6F926910" w:rsidR="00B53322" w:rsidRPr="00FD4268" w:rsidRDefault="00F86D24" w:rsidP="00DF2488">
      <w:pPr>
        <w:spacing w:after="60"/>
        <w:ind w:left="288"/>
        <w:rPr>
          <w:rFonts w:ascii="Garamond" w:hAnsi="Garamond" w:cstheme="minorHAnsi"/>
        </w:rPr>
      </w:pPr>
      <w:r w:rsidRPr="00FD4268">
        <w:rPr>
          <w:rFonts w:ascii="Garamond" w:hAnsi="Garamond" w:cstheme="minorHAnsi"/>
        </w:rPr>
        <w:t>6</w:t>
      </w:r>
      <w:r w:rsidR="00966C8C" w:rsidRPr="00FD4268">
        <w:rPr>
          <w:rFonts w:ascii="Garamond" w:hAnsi="Garamond" w:cstheme="minorHAnsi"/>
        </w:rPr>
        <w:t xml:space="preserve">. A one-unit increase in the value of </w:t>
      </w:r>
      <w:r w:rsidR="00966C8C" w:rsidRPr="00FD4268">
        <w:rPr>
          <w:rFonts w:ascii="Garamond" w:hAnsi="Garamond" w:cstheme="minorHAnsi"/>
          <w:i/>
        </w:rPr>
        <w:t>age</w:t>
      </w:r>
      <w:r w:rsidR="00966C8C" w:rsidRPr="00FD4268">
        <w:rPr>
          <w:rFonts w:ascii="Garamond" w:hAnsi="Garamond" w:cstheme="minorHAnsi"/>
        </w:rPr>
        <w:t xml:space="preserve"> results in </w:t>
      </w:r>
      <w:r w:rsidRPr="00FD4268">
        <w:rPr>
          <w:rFonts w:ascii="Garamond" w:hAnsi="Garamond" w:cstheme="minorHAnsi"/>
        </w:rPr>
        <w:t>an increase</w:t>
      </w:r>
      <w:r w:rsidR="00966C8C" w:rsidRPr="00FD4268">
        <w:rPr>
          <w:rFonts w:ascii="Garamond" w:hAnsi="Garamond" w:cstheme="minorHAnsi"/>
        </w:rPr>
        <w:t xml:space="preserve"> in the risk of death</w:t>
      </w:r>
      <w:r w:rsidRPr="00FD4268">
        <w:rPr>
          <w:rFonts w:ascii="Garamond" w:hAnsi="Garamond" w:cstheme="minorHAnsi"/>
        </w:rPr>
        <w:t xml:space="preserve"> by 1%</w:t>
      </w:r>
      <w:r w:rsidR="00966C8C" w:rsidRPr="00FD4268">
        <w:rPr>
          <w:rFonts w:ascii="Garamond" w:hAnsi="Garamond" w:cstheme="minorHAnsi"/>
        </w:rPr>
        <w:t xml:space="preserve"> (1.0</w:t>
      </w:r>
      <w:r w:rsidRPr="00FD4268">
        <w:rPr>
          <w:rFonts w:ascii="Garamond" w:hAnsi="Garamond" w:cstheme="minorHAnsi"/>
        </w:rPr>
        <w:t>1</w:t>
      </w:r>
      <w:r w:rsidR="00966C8C" w:rsidRPr="00FD4268">
        <w:rPr>
          <w:rFonts w:ascii="Garamond" w:hAnsi="Garamond" w:cstheme="minorHAnsi"/>
        </w:rPr>
        <w:t>-1.00=</w:t>
      </w:r>
      <w:r w:rsidRPr="00FD4268">
        <w:rPr>
          <w:rFonts w:ascii="Garamond" w:hAnsi="Garamond" w:cstheme="minorHAnsi"/>
        </w:rPr>
        <w:t>1</w:t>
      </w:r>
      <w:r w:rsidR="00966C8C" w:rsidRPr="00FD4268">
        <w:rPr>
          <w:rFonts w:ascii="Garamond" w:hAnsi="Garamond" w:cstheme="minorHAnsi"/>
        </w:rPr>
        <w:t>%).</w:t>
      </w:r>
    </w:p>
    <w:p w14:paraId="7FE705EE" w14:textId="6049958A" w:rsidR="00966C8C" w:rsidRPr="00FD4268" w:rsidRDefault="00F86D24" w:rsidP="00DF2488">
      <w:pPr>
        <w:spacing w:after="120"/>
        <w:ind w:left="288"/>
        <w:rPr>
          <w:rFonts w:ascii="Garamond" w:hAnsi="Garamond" w:cstheme="minorHAnsi"/>
        </w:rPr>
      </w:pPr>
      <w:r w:rsidRPr="00FD4268">
        <w:rPr>
          <w:rFonts w:ascii="Garamond" w:hAnsi="Garamond" w:cstheme="minorHAnsi"/>
        </w:rPr>
        <w:t>7</w:t>
      </w:r>
      <w:r w:rsidR="00966C8C" w:rsidRPr="00FD4268">
        <w:rPr>
          <w:rFonts w:ascii="Garamond" w:hAnsi="Garamond" w:cstheme="minorHAnsi"/>
        </w:rPr>
        <w:t xml:space="preserve">. The risk of death for patients with no prior therapy is </w:t>
      </w:r>
      <w:r w:rsidRPr="00FD4268">
        <w:rPr>
          <w:rFonts w:ascii="Garamond" w:hAnsi="Garamond" w:cstheme="minorHAnsi"/>
        </w:rPr>
        <w:t>1.07</w:t>
      </w:r>
      <w:r w:rsidR="00966C8C" w:rsidRPr="00FD4268">
        <w:rPr>
          <w:rFonts w:ascii="Garamond" w:hAnsi="Garamond" w:cstheme="minorHAnsi"/>
        </w:rPr>
        <w:t xml:space="preserve"> times the risk of death for patients with prior therapy.</w:t>
      </w:r>
    </w:p>
    <w:p w14:paraId="2A96C793" w14:textId="01FAC4D9" w:rsidR="005721E8" w:rsidRPr="00FD4268" w:rsidRDefault="00466D41" w:rsidP="00DF2488">
      <w:pPr>
        <w:spacing w:after="120"/>
        <w:rPr>
          <w:rFonts w:ascii="Garamond" w:hAnsi="Garamond" w:cstheme="minorHAnsi"/>
        </w:rPr>
      </w:pPr>
      <w:r w:rsidRPr="00FD4268">
        <w:rPr>
          <w:rFonts w:ascii="Garamond" w:hAnsi="Garamond" w:cstheme="minorHAnsi"/>
        </w:rPr>
        <w:t>This output indicates that only one term is</w:t>
      </w:r>
      <w:r w:rsidR="005721E8" w:rsidRPr="00FD4268">
        <w:rPr>
          <w:rFonts w:ascii="Garamond" w:hAnsi="Garamond" w:cstheme="minorHAnsi"/>
        </w:rPr>
        <w:t xml:space="preserve"> clearly</w:t>
      </w:r>
      <w:r w:rsidRPr="00FD4268">
        <w:rPr>
          <w:rFonts w:ascii="Garamond" w:hAnsi="Garamond" w:cstheme="minorHAnsi"/>
        </w:rPr>
        <w:t xml:space="preserve"> </w:t>
      </w:r>
      <w:r w:rsidR="00A32F01" w:rsidRPr="00FD4268">
        <w:rPr>
          <w:rFonts w:ascii="Garamond" w:hAnsi="Garamond" w:cstheme="minorHAnsi"/>
        </w:rPr>
        <w:t xml:space="preserve">significant in the model— </w:t>
      </w:r>
      <w:proofErr w:type="spellStart"/>
      <w:r w:rsidR="00A32F01" w:rsidRPr="00FD4268">
        <w:rPr>
          <w:rFonts w:ascii="Garamond" w:hAnsi="Garamond" w:cstheme="minorHAnsi"/>
          <w:i/>
        </w:rPr>
        <w:t>celltype</w:t>
      </w:r>
      <w:proofErr w:type="spellEnd"/>
      <w:r w:rsidR="00A32F01" w:rsidRPr="00FD4268">
        <w:rPr>
          <w:rFonts w:ascii="Garamond" w:hAnsi="Garamond" w:cstheme="minorHAnsi"/>
        </w:rPr>
        <w:t xml:space="preserve">. Specifically, </w:t>
      </w:r>
      <w:proofErr w:type="spellStart"/>
      <w:r w:rsidR="00E3673E" w:rsidRPr="00FD4268">
        <w:rPr>
          <w:rFonts w:ascii="Garamond" w:hAnsi="Garamond" w:cstheme="minorHAnsi"/>
        </w:rPr>
        <w:t>smallcell</w:t>
      </w:r>
      <w:proofErr w:type="spellEnd"/>
      <w:r w:rsidR="00E3673E" w:rsidRPr="00FD4268">
        <w:rPr>
          <w:rFonts w:ascii="Garamond" w:hAnsi="Garamond" w:cstheme="minorHAnsi"/>
        </w:rPr>
        <w:t xml:space="preserve"> and adeno tumor cell types are </w:t>
      </w:r>
      <w:r w:rsidR="00A32F01" w:rsidRPr="00FD4268">
        <w:rPr>
          <w:rFonts w:ascii="Garamond" w:hAnsi="Garamond" w:cstheme="minorHAnsi"/>
        </w:rPr>
        <w:t xml:space="preserve">significant in the model. </w:t>
      </w:r>
    </w:p>
    <w:p w14:paraId="1C0E9D19" w14:textId="0C5E7A06" w:rsidR="004819DB" w:rsidRPr="00FD4268" w:rsidRDefault="005721E8" w:rsidP="00DF2488">
      <w:pPr>
        <w:spacing w:after="120"/>
        <w:rPr>
          <w:rFonts w:ascii="Garamond" w:hAnsi="Garamond" w:cstheme="minorHAnsi"/>
        </w:rPr>
      </w:pPr>
      <w:r w:rsidRPr="00FD4268">
        <w:rPr>
          <w:rFonts w:ascii="Garamond" w:hAnsi="Garamond" w:cstheme="minorHAnsi"/>
        </w:rPr>
        <w:t>We can perform backwards</w:t>
      </w:r>
      <w:r w:rsidR="00985750" w:rsidRPr="00FD4268">
        <w:rPr>
          <w:rFonts w:ascii="Garamond" w:hAnsi="Garamond" w:cstheme="minorHAnsi"/>
        </w:rPr>
        <w:t xml:space="preserve"> selection to then create a reduced model with only relevant covariates. Each iteration, we will remove the covariate with the highest p-value, which is greater than 0.15, until all covariates in the model are significant (and including </w:t>
      </w:r>
      <w:proofErr w:type="spellStart"/>
      <w:r w:rsidR="00985750" w:rsidRPr="00FD4268">
        <w:rPr>
          <w:rFonts w:ascii="Garamond" w:hAnsi="Garamond" w:cstheme="minorHAnsi"/>
          <w:i/>
        </w:rPr>
        <w:t>trt</w:t>
      </w:r>
      <w:proofErr w:type="spellEnd"/>
      <w:r w:rsidR="00985750" w:rsidRPr="00FD4268">
        <w:rPr>
          <w:rFonts w:ascii="Garamond" w:hAnsi="Garamond" w:cstheme="minorHAnsi"/>
        </w:rPr>
        <w:t xml:space="preserve">). This process resulting in selecting to include the covariates </w:t>
      </w:r>
      <w:proofErr w:type="spellStart"/>
      <w:r w:rsidR="00985750" w:rsidRPr="00FD4268">
        <w:rPr>
          <w:rFonts w:ascii="Garamond" w:hAnsi="Garamond" w:cstheme="minorHAnsi"/>
          <w:i/>
        </w:rPr>
        <w:t>trt</w:t>
      </w:r>
      <w:proofErr w:type="spellEnd"/>
      <w:r w:rsidR="00985750" w:rsidRPr="00FD4268">
        <w:rPr>
          <w:rFonts w:ascii="Garamond" w:hAnsi="Garamond" w:cstheme="minorHAnsi"/>
          <w:i/>
        </w:rPr>
        <w:t xml:space="preserve"> </w:t>
      </w:r>
      <w:r w:rsidR="00985750" w:rsidRPr="00FD4268">
        <w:rPr>
          <w:rFonts w:ascii="Garamond" w:hAnsi="Garamond" w:cstheme="minorHAnsi"/>
        </w:rPr>
        <w:t xml:space="preserve">and </w:t>
      </w:r>
      <w:proofErr w:type="spellStart"/>
      <w:r w:rsidR="00985750" w:rsidRPr="00FD4268">
        <w:rPr>
          <w:rFonts w:ascii="Garamond" w:hAnsi="Garamond" w:cstheme="minorHAnsi"/>
          <w:i/>
        </w:rPr>
        <w:t>celltype</w:t>
      </w:r>
      <w:proofErr w:type="spellEnd"/>
      <w:r w:rsidR="00985750" w:rsidRPr="00FD4268">
        <w:rPr>
          <w:rFonts w:ascii="Garamond" w:hAnsi="Garamond" w:cstheme="minorHAnsi"/>
          <w:i/>
        </w:rPr>
        <w:t xml:space="preserve"> </w:t>
      </w:r>
      <w:r w:rsidR="00985750" w:rsidRPr="00FD4268">
        <w:rPr>
          <w:rFonts w:ascii="Garamond" w:hAnsi="Garamond" w:cstheme="minorHAnsi"/>
        </w:rPr>
        <w:t>in the reduced model, as these were the only significant terms.</w:t>
      </w:r>
    </w:p>
    <w:p w14:paraId="26E303BC" w14:textId="1F7BECB6" w:rsidR="00985750" w:rsidRPr="00FD4268" w:rsidRDefault="004819DB" w:rsidP="00DF2488">
      <w:pPr>
        <w:spacing w:after="120"/>
        <w:rPr>
          <w:rFonts w:ascii="Garamond" w:hAnsi="Garamond" w:cstheme="minorHAnsi"/>
        </w:rPr>
      </w:pPr>
      <w:r w:rsidRPr="00FD4268">
        <w:rPr>
          <w:rFonts w:ascii="Garamond" w:hAnsi="Garamond" w:cstheme="minorHAnsi"/>
        </w:rPr>
        <w:t xml:space="preserve">We determined that the log likelihood of the full model is 984.975. </w:t>
      </w:r>
      <w:r w:rsidR="002C57B2" w:rsidRPr="00FD4268">
        <w:rPr>
          <w:rFonts w:ascii="Garamond" w:hAnsi="Garamond" w:cstheme="minorHAnsi"/>
        </w:rPr>
        <w:t xml:space="preserve">Fitting a reduced model with only the significant covariates </w:t>
      </w:r>
      <w:proofErr w:type="spellStart"/>
      <w:r w:rsidR="002C57B2" w:rsidRPr="00FD4268">
        <w:rPr>
          <w:rFonts w:ascii="Garamond" w:hAnsi="Garamond" w:cstheme="minorHAnsi"/>
          <w:i/>
        </w:rPr>
        <w:t>celltype</w:t>
      </w:r>
      <w:proofErr w:type="spellEnd"/>
      <w:r w:rsidR="002C57B2" w:rsidRPr="00FD4268">
        <w:rPr>
          <w:rFonts w:ascii="Garamond" w:hAnsi="Garamond" w:cstheme="minorHAnsi"/>
          <w:i/>
        </w:rPr>
        <w:t xml:space="preserve"> </w:t>
      </w:r>
      <w:r w:rsidR="002C57B2" w:rsidRPr="00FD4268">
        <w:rPr>
          <w:rFonts w:ascii="Garamond" w:hAnsi="Garamond" w:cstheme="minorHAnsi"/>
        </w:rPr>
        <w:t xml:space="preserve">and </w:t>
      </w:r>
      <w:proofErr w:type="spellStart"/>
      <w:r w:rsidR="002C57B2" w:rsidRPr="00FD4268">
        <w:rPr>
          <w:rFonts w:ascii="Garamond" w:hAnsi="Garamond" w:cstheme="minorHAnsi"/>
          <w:i/>
        </w:rPr>
        <w:t>trt</w:t>
      </w:r>
      <w:proofErr w:type="spellEnd"/>
      <w:r w:rsidR="002C57B2" w:rsidRPr="00FD4268">
        <w:rPr>
          <w:rFonts w:ascii="Garamond" w:hAnsi="Garamond" w:cstheme="minorHAnsi"/>
        </w:rPr>
        <w:t xml:space="preserve"> (</w:t>
      </w:r>
      <w:proofErr w:type="spellStart"/>
      <w:r w:rsidR="002C57B2" w:rsidRPr="00FD4268">
        <w:rPr>
          <w:rFonts w:ascii="Garamond" w:hAnsi="Garamond" w:cstheme="minorHAnsi"/>
          <w:i/>
        </w:rPr>
        <w:t>trt</w:t>
      </w:r>
      <w:proofErr w:type="spellEnd"/>
      <w:r w:rsidR="002C57B2" w:rsidRPr="00FD4268">
        <w:rPr>
          <w:rFonts w:ascii="Garamond" w:hAnsi="Garamond" w:cstheme="minorHAnsi"/>
          <w:i/>
        </w:rPr>
        <w:t xml:space="preserve"> </w:t>
      </w:r>
      <w:r w:rsidR="002C57B2" w:rsidRPr="00FD4268">
        <w:rPr>
          <w:rFonts w:ascii="Garamond" w:hAnsi="Garamond" w:cstheme="minorHAnsi"/>
        </w:rPr>
        <w:t xml:space="preserve">is kept due to treatment distinguishing), we find the log likelihood to be 986.217. We can then perform a likelihood ratio test to determine whether the full or reduced model is preferred. The likelihood ratio test statistic is 1.24 and when this statistic is compared to a chi-square distribution with 3 degrees of freedom (p-k </w:t>
      </w:r>
      <w:r w:rsidR="002C57B2" w:rsidRPr="00FD4268">
        <w:rPr>
          <w:rFonts w:ascii="Garamond" w:hAnsi="Garamond" w:cstheme="minorHAnsi"/>
        </w:rPr>
        <w:sym w:font="Wingdings" w:char="F0E0"/>
      </w:r>
      <w:r w:rsidR="002C57B2" w:rsidRPr="00FD4268">
        <w:rPr>
          <w:rFonts w:ascii="Garamond" w:hAnsi="Garamond" w:cstheme="minorHAnsi"/>
        </w:rPr>
        <w:t xml:space="preserve"> 7-4=3), we obtain a p-value of 0.74. This indicates that there is insufficient evidence that the coefficients of the extra covariates existing only in the full model are not equal to 0. Therefore, the reduced model is preferred. </w:t>
      </w:r>
    </w:p>
    <w:p w14:paraId="2D823261" w14:textId="7034B2E2" w:rsidR="00985750" w:rsidRPr="00FD4268" w:rsidRDefault="00985750" w:rsidP="00DF2488">
      <w:pPr>
        <w:spacing w:after="120"/>
        <w:rPr>
          <w:rFonts w:ascii="Garamond" w:hAnsi="Garamond" w:cstheme="minorHAnsi"/>
        </w:rPr>
      </w:pPr>
      <w:r w:rsidRPr="00FD4268">
        <w:rPr>
          <w:rFonts w:ascii="Garamond" w:hAnsi="Garamond" w:cstheme="minorHAnsi"/>
        </w:rPr>
        <w:t>Fitting the reduced model yields the following regression output:</w:t>
      </w:r>
    </w:p>
    <w:tbl>
      <w:tblPr>
        <w:tblStyle w:val="TableGrid"/>
        <w:tblW w:w="0" w:type="auto"/>
        <w:tblLook w:val="04A0" w:firstRow="1" w:lastRow="0" w:firstColumn="1" w:lastColumn="0" w:noHBand="0" w:noVBand="1"/>
      </w:tblPr>
      <w:tblGrid>
        <w:gridCol w:w="1887"/>
        <w:gridCol w:w="528"/>
        <w:gridCol w:w="1078"/>
        <w:gridCol w:w="1632"/>
        <w:gridCol w:w="1350"/>
        <w:gridCol w:w="963"/>
        <w:gridCol w:w="1912"/>
      </w:tblGrid>
      <w:tr w:rsidR="00985750" w:rsidRPr="00FD4268" w14:paraId="5B637D6E" w14:textId="77777777" w:rsidTr="00040EC7">
        <w:tc>
          <w:tcPr>
            <w:tcW w:w="1887" w:type="dxa"/>
            <w:vAlign w:val="center"/>
          </w:tcPr>
          <w:p w14:paraId="658A67F4"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Parameter</w:t>
            </w:r>
          </w:p>
        </w:tc>
        <w:tc>
          <w:tcPr>
            <w:tcW w:w="528" w:type="dxa"/>
            <w:vAlign w:val="center"/>
          </w:tcPr>
          <w:p w14:paraId="09C2EAEA"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DF</w:t>
            </w:r>
          </w:p>
        </w:tc>
        <w:tc>
          <w:tcPr>
            <w:tcW w:w="1078" w:type="dxa"/>
            <w:vAlign w:val="center"/>
          </w:tcPr>
          <w:p w14:paraId="15BABC5F"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Estimate</w:t>
            </w:r>
          </w:p>
        </w:tc>
        <w:tc>
          <w:tcPr>
            <w:tcW w:w="1632" w:type="dxa"/>
            <w:vAlign w:val="center"/>
          </w:tcPr>
          <w:p w14:paraId="37D9462E"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Standard Error</w:t>
            </w:r>
          </w:p>
        </w:tc>
        <w:tc>
          <w:tcPr>
            <w:tcW w:w="1350" w:type="dxa"/>
            <w:vAlign w:val="center"/>
          </w:tcPr>
          <w:p w14:paraId="256618FF"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Chi-Square</w:t>
            </w:r>
          </w:p>
        </w:tc>
        <w:tc>
          <w:tcPr>
            <w:tcW w:w="963" w:type="dxa"/>
            <w:vAlign w:val="center"/>
          </w:tcPr>
          <w:p w14:paraId="58D9B0A6"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p-value</w:t>
            </w:r>
          </w:p>
        </w:tc>
        <w:tc>
          <w:tcPr>
            <w:tcW w:w="1912" w:type="dxa"/>
            <w:vAlign w:val="center"/>
          </w:tcPr>
          <w:p w14:paraId="325AAB1E" w14:textId="77777777" w:rsidR="00985750" w:rsidRPr="00FD4268" w:rsidRDefault="00985750" w:rsidP="00040EC7">
            <w:pPr>
              <w:jc w:val="center"/>
              <w:rPr>
                <w:rFonts w:ascii="Garamond" w:hAnsi="Garamond" w:cstheme="minorHAnsi"/>
                <w:b/>
                <w:i/>
              </w:rPr>
            </w:pPr>
            <w:r w:rsidRPr="00FD4268">
              <w:rPr>
                <w:rFonts w:ascii="Garamond" w:hAnsi="Garamond" w:cstheme="minorHAnsi"/>
                <w:b/>
                <w:i/>
              </w:rPr>
              <w:t>Hazard Ratio</w:t>
            </w:r>
          </w:p>
        </w:tc>
      </w:tr>
      <w:tr w:rsidR="00985750" w:rsidRPr="00FD4268" w14:paraId="13E9C2ED" w14:textId="77777777" w:rsidTr="00040EC7">
        <w:tc>
          <w:tcPr>
            <w:tcW w:w="1887" w:type="dxa"/>
            <w:vAlign w:val="center"/>
          </w:tcPr>
          <w:p w14:paraId="12CFD582" w14:textId="77777777" w:rsidR="00985750" w:rsidRPr="00040EC7" w:rsidRDefault="00985750" w:rsidP="00040EC7">
            <w:pPr>
              <w:jc w:val="center"/>
              <w:rPr>
                <w:rFonts w:ascii="Garamond" w:hAnsi="Garamond" w:cstheme="minorHAnsi"/>
              </w:rPr>
            </w:pPr>
            <w:proofErr w:type="spellStart"/>
            <w:r w:rsidRPr="00040EC7">
              <w:rPr>
                <w:rFonts w:ascii="Garamond" w:hAnsi="Garamond" w:cstheme="minorHAnsi"/>
              </w:rPr>
              <w:t>trt</w:t>
            </w:r>
            <w:proofErr w:type="spellEnd"/>
            <w:r w:rsidRPr="00040EC7">
              <w:rPr>
                <w:rFonts w:ascii="Garamond" w:hAnsi="Garamond" w:cstheme="minorHAnsi"/>
              </w:rPr>
              <w:t>=Standard</w:t>
            </w:r>
          </w:p>
        </w:tc>
        <w:tc>
          <w:tcPr>
            <w:tcW w:w="528" w:type="dxa"/>
            <w:vAlign w:val="center"/>
          </w:tcPr>
          <w:p w14:paraId="4A3E88F5" w14:textId="77777777" w:rsidR="00985750" w:rsidRPr="00FD4268" w:rsidRDefault="00985750" w:rsidP="00040EC7">
            <w:pPr>
              <w:jc w:val="center"/>
              <w:rPr>
                <w:rFonts w:ascii="Garamond" w:hAnsi="Garamond" w:cstheme="minorHAnsi"/>
              </w:rPr>
            </w:pPr>
            <w:r w:rsidRPr="00FD4268">
              <w:rPr>
                <w:rFonts w:ascii="Garamond" w:hAnsi="Garamond" w:cstheme="minorHAnsi"/>
              </w:rPr>
              <w:t>1</w:t>
            </w:r>
          </w:p>
        </w:tc>
        <w:tc>
          <w:tcPr>
            <w:tcW w:w="1078" w:type="dxa"/>
            <w:vAlign w:val="center"/>
          </w:tcPr>
          <w:p w14:paraId="5C1909B3" w14:textId="53B7C17D" w:rsidR="00985750" w:rsidRPr="00FD4268" w:rsidRDefault="00985750" w:rsidP="00040EC7">
            <w:pPr>
              <w:jc w:val="center"/>
              <w:rPr>
                <w:rFonts w:ascii="Garamond" w:hAnsi="Garamond" w:cstheme="minorHAnsi"/>
              </w:rPr>
            </w:pPr>
            <w:r w:rsidRPr="00FD4268">
              <w:rPr>
                <w:rFonts w:ascii="Garamond" w:hAnsi="Garamond" w:cstheme="minorHAnsi"/>
              </w:rPr>
              <w:t>-0.19</w:t>
            </w:r>
          </w:p>
        </w:tc>
        <w:tc>
          <w:tcPr>
            <w:tcW w:w="1632" w:type="dxa"/>
            <w:vAlign w:val="center"/>
          </w:tcPr>
          <w:p w14:paraId="47960B0B" w14:textId="77777777" w:rsidR="00985750" w:rsidRPr="00FD4268" w:rsidRDefault="00985750" w:rsidP="00040EC7">
            <w:pPr>
              <w:jc w:val="center"/>
              <w:rPr>
                <w:rFonts w:ascii="Garamond" w:hAnsi="Garamond" w:cstheme="minorHAnsi"/>
              </w:rPr>
            </w:pPr>
            <w:r w:rsidRPr="00FD4268">
              <w:rPr>
                <w:rFonts w:ascii="Garamond" w:hAnsi="Garamond" w:cstheme="minorHAnsi"/>
              </w:rPr>
              <w:t>0.20</w:t>
            </w:r>
          </w:p>
        </w:tc>
        <w:tc>
          <w:tcPr>
            <w:tcW w:w="1350" w:type="dxa"/>
            <w:vAlign w:val="center"/>
          </w:tcPr>
          <w:p w14:paraId="623277DD" w14:textId="5361D7C3" w:rsidR="00985750" w:rsidRPr="00FD4268" w:rsidRDefault="00985750" w:rsidP="00040EC7">
            <w:pPr>
              <w:jc w:val="center"/>
              <w:rPr>
                <w:rFonts w:ascii="Garamond" w:hAnsi="Garamond" w:cstheme="minorHAnsi"/>
              </w:rPr>
            </w:pPr>
            <w:r w:rsidRPr="00FD4268">
              <w:rPr>
                <w:rFonts w:ascii="Garamond" w:hAnsi="Garamond" w:cstheme="minorHAnsi"/>
              </w:rPr>
              <w:t>0.98</w:t>
            </w:r>
          </w:p>
        </w:tc>
        <w:tc>
          <w:tcPr>
            <w:tcW w:w="963" w:type="dxa"/>
            <w:vAlign w:val="center"/>
          </w:tcPr>
          <w:p w14:paraId="452D5571" w14:textId="57392DF6" w:rsidR="00985750" w:rsidRPr="00FD4268" w:rsidRDefault="00985750" w:rsidP="00040EC7">
            <w:pPr>
              <w:jc w:val="center"/>
              <w:rPr>
                <w:rFonts w:ascii="Garamond" w:hAnsi="Garamond" w:cstheme="minorHAnsi"/>
              </w:rPr>
            </w:pPr>
            <w:r w:rsidRPr="00FD4268">
              <w:rPr>
                <w:rFonts w:ascii="Garamond" w:hAnsi="Garamond" w:cstheme="minorHAnsi"/>
              </w:rPr>
              <w:t>0.32</w:t>
            </w:r>
          </w:p>
        </w:tc>
        <w:tc>
          <w:tcPr>
            <w:tcW w:w="1912" w:type="dxa"/>
            <w:vAlign w:val="center"/>
          </w:tcPr>
          <w:p w14:paraId="7733A910" w14:textId="7B357BD1" w:rsidR="00985750" w:rsidRPr="00FD4268" w:rsidRDefault="00985750" w:rsidP="00040EC7">
            <w:pPr>
              <w:jc w:val="center"/>
              <w:rPr>
                <w:rFonts w:ascii="Garamond" w:hAnsi="Garamond" w:cstheme="minorHAnsi"/>
              </w:rPr>
            </w:pPr>
            <w:r w:rsidRPr="00FD4268">
              <w:rPr>
                <w:rFonts w:ascii="Garamond" w:hAnsi="Garamond" w:cstheme="minorHAnsi"/>
              </w:rPr>
              <w:t>0.82</w:t>
            </w:r>
          </w:p>
        </w:tc>
      </w:tr>
      <w:tr w:rsidR="00985750" w:rsidRPr="00FD4268" w14:paraId="39EAD676" w14:textId="77777777" w:rsidTr="00040EC7">
        <w:tc>
          <w:tcPr>
            <w:tcW w:w="1887" w:type="dxa"/>
            <w:vAlign w:val="center"/>
          </w:tcPr>
          <w:p w14:paraId="09E7B82C" w14:textId="77777777" w:rsidR="00985750" w:rsidRPr="00040EC7" w:rsidRDefault="00985750" w:rsidP="00040EC7">
            <w:pPr>
              <w:jc w:val="center"/>
              <w:rPr>
                <w:rFonts w:ascii="Garamond" w:hAnsi="Garamond" w:cstheme="minorHAnsi"/>
              </w:rPr>
            </w:pPr>
            <w:proofErr w:type="spellStart"/>
            <w:r w:rsidRPr="00040EC7">
              <w:rPr>
                <w:rFonts w:ascii="Garamond" w:hAnsi="Garamond" w:cstheme="minorHAnsi"/>
              </w:rPr>
              <w:t>celltype</w:t>
            </w:r>
            <w:proofErr w:type="spellEnd"/>
            <w:r w:rsidRPr="00040EC7">
              <w:rPr>
                <w:rFonts w:ascii="Garamond" w:hAnsi="Garamond" w:cstheme="minorHAnsi"/>
              </w:rPr>
              <w:t>=Squamous</w:t>
            </w:r>
          </w:p>
        </w:tc>
        <w:tc>
          <w:tcPr>
            <w:tcW w:w="528" w:type="dxa"/>
            <w:vAlign w:val="center"/>
          </w:tcPr>
          <w:p w14:paraId="19911AB2" w14:textId="77777777" w:rsidR="00985750" w:rsidRPr="00FD4268" w:rsidRDefault="00985750" w:rsidP="00040EC7">
            <w:pPr>
              <w:jc w:val="center"/>
              <w:rPr>
                <w:rFonts w:ascii="Garamond" w:hAnsi="Garamond" w:cstheme="minorHAnsi"/>
              </w:rPr>
            </w:pPr>
            <w:r w:rsidRPr="00FD4268">
              <w:rPr>
                <w:rFonts w:ascii="Garamond" w:hAnsi="Garamond" w:cstheme="minorHAnsi"/>
              </w:rPr>
              <w:t>1</w:t>
            </w:r>
          </w:p>
        </w:tc>
        <w:tc>
          <w:tcPr>
            <w:tcW w:w="1078" w:type="dxa"/>
            <w:vAlign w:val="center"/>
          </w:tcPr>
          <w:p w14:paraId="6EB9E6AB" w14:textId="085A2841" w:rsidR="00985750" w:rsidRPr="00FD4268" w:rsidRDefault="00985750" w:rsidP="00040EC7">
            <w:pPr>
              <w:jc w:val="center"/>
              <w:rPr>
                <w:rFonts w:ascii="Garamond" w:hAnsi="Garamond" w:cstheme="minorHAnsi"/>
              </w:rPr>
            </w:pPr>
            <w:r w:rsidRPr="00FD4268">
              <w:rPr>
                <w:rFonts w:ascii="Garamond" w:hAnsi="Garamond" w:cstheme="minorHAnsi"/>
              </w:rPr>
              <w:t>-0.30</w:t>
            </w:r>
          </w:p>
        </w:tc>
        <w:tc>
          <w:tcPr>
            <w:tcW w:w="1632" w:type="dxa"/>
            <w:vAlign w:val="center"/>
          </w:tcPr>
          <w:p w14:paraId="6CD31D50" w14:textId="77777777" w:rsidR="00985750" w:rsidRPr="00FD4268" w:rsidRDefault="00985750" w:rsidP="00040EC7">
            <w:pPr>
              <w:jc w:val="center"/>
              <w:rPr>
                <w:rFonts w:ascii="Garamond" w:hAnsi="Garamond" w:cstheme="minorHAnsi"/>
              </w:rPr>
            </w:pPr>
            <w:r w:rsidRPr="00FD4268">
              <w:rPr>
                <w:rFonts w:ascii="Garamond" w:hAnsi="Garamond" w:cstheme="minorHAnsi"/>
              </w:rPr>
              <w:t>0.29</w:t>
            </w:r>
          </w:p>
        </w:tc>
        <w:tc>
          <w:tcPr>
            <w:tcW w:w="1350" w:type="dxa"/>
            <w:vAlign w:val="center"/>
          </w:tcPr>
          <w:p w14:paraId="7A18752E" w14:textId="54E1BB4C" w:rsidR="00985750" w:rsidRPr="00FD4268" w:rsidRDefault="00985750" w:rsidP="00040EC7">
            <w:pPr>
              <w:jc w:val="center"/>
              <w:rPr>
                <w:rFonts w:ascii="Garamond" w:hAnsi="Garamond" w:cstheme="minorHAnsi"/>
              </w:rPr>
            </w:pPr>
            <w:r w:rsidRPr="00FD4268">
              <w:rPr>
                <w:rFonts w:ascii="Garamond" w:hAnsi="Garamond" w:cstheme="minorHAnsi"/>
              </w:rPr>
              <w:t>1.07</w:t>
            </w:r>
          </w:p>
        </w:tc>
        <w:tc>
          <w:tcPr>
            <w:tcW w:w="963" w:type="dxa"/>
            <w:vAlign w:val="center"/>
          </w:tcPr>
          <w:p w14:paraId="17544DF0" w14:textId="24401DD9" w:rsidR="00985750" w:rsidRPr="00FD4268" w:rsidRDefault="00985750" w:rsidP="00040EC7">
            <w:pPr>
              <w:jc w:val="center"/>
              <w:rPr>
                <w:rFonts w:ascii="Garamond" w:hAnsi="Garamond" w:cstheme="minorHAnsi"/>
              </w:rPr>
            </w:pPr>
            <w:r w:rsidRPr="00FD4268">
              <w:rPr>
                <w:rFonts w:ascii="Garamond" w:hAnsi="Garamond" w:cstheme="minorHAnsi"/>
              </w:rPr>
              <w:t>0.30</w:t>
            </w:r>
          </w:p>
        </w:tc>
        <w:tc>
          <w:tcPr>
            <w:tcW w:w="1912" w:type="dxa"/>
            <w:vAlign w:val="center"/>
          </w:tcPr>
          <w:p w14:paraId="183EBD24" w14:textId="0CF5F739" w:rsidR="00985750" w:rsidRPr="00FD4268" w:rsidRDefault="00985750" w:rsidP="00040EC7">
            <w:pPr>
              <w:jc w:val="center"/>
              <w:rPr>
                <w:rFonts w:ascii="Garamond" w:hAnsi="Garamond" w:cstheme="minorHAnsi"/>
              </w:rPr>
            </w:pPr>
            <w:r w:rsidRPr="00FD4268">
              <w:rPr>
                <w:rFonts w:ascii="Garamond" w:hAnsi="Garamond" w:cstheme="minorHAnsi"/>
              </w:rPr>
              <w:t>0.74</w:t>
            </w:r>
          </w:p>
        </w:tc>
      </w:tr>
      <w:tr w:rsidR="00985750" w:rsidRPr="00FD4268" w14:paraId="7AFD2684" w14:textId="77777777" w:rsidTr="00040EC7">
        <w:tc>
          <w:tcPr>
            <w:tcW w:w="1887" w:type="dxa"/>
            <w:vAlign w:val="center"/>
          </w:tcPr>
          <w:p w14:paraId="0132322E" w14:textId="77777777" w:rsidR="00985750" w:rsidRPr="00040EC7" w:rsidRDefault="00985750" w:rsidP="00040EC7">
            <w:pPr>
              <w:jc w:val="center"/>
              <w:rPr>
                <w:rFonts w:ascii="Garamond" w:hAnsi="Garamond" w:cstheme="minorHAnsi"/>
              </w:rPr>
            </w:pPr>
            <w:proofErr w:type="spellStart"/>
            <w:r w:rsidRPr="00040EC7">
              <w:rPr>
                <w:rFonts w:ascii="Garamond" w:hAnsi="Garamond" w:cstheme="minorHAnsi"/>
              </w:rPr>
              <w:t>celltype</w:t>
            </w:r>
            <w:proofErr w:type="spellEnd"/>
            <w:r w:rsidRPr="00040EC7">
              <w:rPr>
                <w:rFonts w:ascii="Garamond" w:hAnsi="Garamond" w:cstheme="minorHAnsi"/>
              </w:rPr>
              <w:t>=</w:t>
            </w:r>
            <w:proofErr w:type="spellStart"/>
            <w:r w:rsidRPr="00040EC7">
              <w:rPr>
                <w:rFonts w:ascii="Garamond" w:hAnsi="Garamond" w:cstheme="minorHAnsi"/>
              </w:rPr>
              <w:t>Smallcell</w:t>
            </w:r>
            <w:proofErr w:type="spellEnd"/>
          </w:p>
        </w:tc>
        <w:tc>
          <w:tcPr>
            <w:tcW w:w="528" w:type="dxa"/>
            <w:vAlign w:val="center"/>
          </w:tcPr>
          <w:p w14:paraId="7DBBC2DC" w14:textId="77777777" w:rsidR="00985750" w:rsidRPr="00FD4268" w:rsidRDefault="00985750" w:rsidP="00040EC7">
            <w:pPr>
              <w:jc w:val="center"/>
              <w:rPr>
                <w:rFonts w:ascii="Garamond" w:hAnsi="Garamond" w:cstheme="minorHAnsi"/>
              </w:rPr>
            </w:pPr>
            <w:r w:rsidRPr="00FD4268">
              <w:rPr>
                <w:rFonts w:ascii="Garamond" w:hAnsi="Garamond" w:cstheme="minorHAnsi"/>
              </w:rPr>
              <w:t>1</w:t>
            </w:r>
          </w:p>
        </w:tc>
        <w:tc>
          <w:tcPr>
            <w:tcW w:w="1078" w:type="dxa"/>
            <w:vAlign w:val="center"/>
          </w:tcPr>
          <w:p w14:paraId="272F5BF3" w14:textId="6095EA31" w:rsidR="00985750" w:rsidRPr="00FD4268" w:rsidRDefault="00985750" w:rsidP="00040EC7">
            <w:pPr>
              <w:jc w:val="center"/>
              <w:rPr>
                <w:rFonts w:ascii="Garamond" w:hAnsi="Garamond" w:cstheme="minorHAnsi"/>
              </w:rPr>
            </w:pPr>
            <w:r w:rsidRPr="00FD4268">
              <w:rPr>
                <w:rFonts w:ascii="Garamond" w:hAnsi="Garamond" w:cstheme="minorHAnsi"/>
              </w:rPr>
              <w:t>0.79</w:t>
            </w:r>
          </w:p>
        </w:tc>
        <w:tc>
          <w:tcPr>
            <w:tcW w:w="1632" w:type="dxa"/>
            <w:vAlign w:val="center"/>
          </w:tcPr>
          <w:p w14:paraId="5EE73931" w14:textId="503E3780" w:rsidR="00985750" w:rsidRPr="00FD4268" w:rsidRDefault="00985750" w:rsidP="00040EC7">
            <w:pPr>
              <w:jc w:val="center"/>
              <w:rPr>
                <w:rFonts w:ascii="Garamond" w:hAnsi="Garamond" w:cstheme="minorHAnsi"/>
              </w:rPr>
            </w:pPr>
            <w:r w:rsidRPr="00FD4268">
              <w:rPr>
                <w:rFonts w:ascii="Garamond" w:hAnsi="Garamond" w:cstheme="minorHAnsi"/>
              </w:rPr>
              <w:t>0.25</w:t>
            </w:r>
          </w:p>
        </w:tc>
        <w:tc>
          <w:tcPr>
            <w:tcW w:w="1350" w:type="dxa"/>
            <w:vAlign w:val="center"/>
          </w:tcPr>
          <w:p w14:paraId="6789E451" w14:textId="2908CBE1" w:rsidR="00985750" w:rsidRPr="00FD4268" w:rsidRDefault="00985750" w:rsidP="00040EC7">
            <w:pPr>
              <w:jc w:val="center"/>
              <w:rPr>
                <w:rFonts w:ascii="Garamond" w:hAnsi="Garamond" w:cstheme="minorHAnsi"/>
              </w:rPr>
            </w:pPr>
            <w:r w:rsidRPr="00FD4268">
              <w:rPr>
                <w:rFonts w:ascii="Garamond" w:hAnsi="Garamond" w:cstheme="minorHAnsi"/>
              </w:rPr>
              <w:t>9.72</w:t>
            </w:r>
          </w:p>
        </w:tc>
        <w:tc>
          <w:tcPr>
            <w:tcW w:w="963" w:type="dxa"/>
            <w:vAlign w:val="center"/>
          </w:tcPr>
          <w:p w14:paraId="3008D743" w14:textId="77777777" w:rsidR="00985750" w:rsidRPr="00FD4268" w:rsidRDefault="00985750" w:rsidP="00040EC7">
            <w:pPr>
              <w:jc w:val="center"/>
              <w:rPr>
                <w:rFonts w:ascii="Garamond" w:hAnsi="Garamond" w:cstheme="minorHAnsi"/>
              </w:rPr>
            </w:pPr>
            <w:r w:rsidRPr="00FD4268">
              <w:rPr>
                <w:rFonts w:ascii="Garamond" w:hAnsi="Garamond" w:cstheme="minorHAnsi"/>
              </w:rPr>
              <w:t>0.00</w:t>
            </w:r>
          </w:p>
        </w:tc>
        <w:tc>
          <w:tcPr>
            <w:tcW w:w="1912" w:type="dxa"/>
            <w:vAlign w:val="center"/>
          </w:tcPr>
          <w:p w14:paraId="5E36E507" w14:textId="2750E80C" w:rsidR="00985750" w:rsidRPr="00FD4268" w:rsidRDefault="00985750" w:rsidP="00040EC7">
            <w:pPr>
              <w:jc w:val="center"/>
              <w:rPr>
                <w:rFonts w:ascii="Garamond" w:hAnsi="Garamond" w:cstheme="minorHAnsi"/>
              </w:rPr>
            </w:pPr>
            <w:r w:rsidRPr="00FD4268">
              <w:rPr>
                <w:rFonts w:ascii="Garamond" w:hAnsi="Garamond" w:cstheme="minorHAnsi"/>
              </w:rPr>
              <w:t>2.21</w:t>
            </w:r>
          </w:p>
        </w:tc>
      </w:tr>
      <w:tr w:rsidR="00985750" w:rsidRPr="00FD4268" w14:paraId="0E9CCC6D" w14:textId="77777777" w:rsidTr="00040EC7">
        <w:tc>
          <w:tcPr>
            <w:tcW w:w="1887" w:type="dxa"/>
            <w:vAlign w:val="center"/>
          </w:tcPr>
          <w:p w14:paraId="5CBB8226" w14:textId="77777777" w:rsidR="00985750" w:rsidRPr="00040EC7" w:rsidRDefault="00985750" w:rsidP="00040EC7">
            <w:pPr>
              <w:jc w:val="center"/>
              <w:rPr>
                <w:rFonts w:ascii="Garamond" w:hAnsi="Garamond" w:cstheme="minorHAnsi"/>
              </w:rPr>
            </w:pPr>
            <w:proofErr w:type="spellStart"/>
            <w:r w:rsidRPr="00040EC7">
              <w:rPr>
                <w:rFonts w:ascii="Garamond" w:hAnsi="Garamond" w:cstheme="minorHAnsi"/>
              </w:rPr>
              <w:t>celltype</w:t>
            </w:r>
            <w:proofErr w:type="spellEnd"/>
            <w:r w:rsidRPr="00040EC7">
              <w:rPr>
                <w:rFonts w:ascii="Garamond" w:hAnsi="Garamond" w:cstheme="minorHAnsi"/>
              </w:rPr>
              <w:t>=Adeno</w:t>
            </w:r>
          </w:p>
        </w:tc>
        <w:tc>
          <w:tcPr>
            <w:tcW w:w="528" w:type="dxa"/>
            <w:vAlign w:val="center"/>
          </w:tcPr>
          <w:p w14:paraId="207CD0BC" w14:textId="77777777" w:rsidR="00985750" w:rsidRPr="00FD4268" w:rsidRDefault="00985750" w:rsidP="00040EC7">
            <w:pPr>
              <w:jc w:val="center"/>
              <w:rPr>
                <w:rFonts w:ascii="Garamond" w:hAnsi="Garamond" w:cstheme="minorHAnsi"/>
              </w:rPr>
            </w:pPr>
            <w:r w:rsidRPr="00FD4268">
              <w:rPr>
                <w:rFonts w:ascii="Garamond" w:hAnsi="Garamond" w:cstheme="minorHAnsi"/>
              </w:rPr>
              <w:t>1</w:t>
            </w:r>
          </w:p>
        </w:tc>
        <w:tc>
          <w:tcPr>
            <w:tcW w:w="1078" w:type="dxa"/>
            <w:vAlign w:val="center"/>
          </w:tcPr>
          <w:p w14:paraId="6F608978" w14:textId="0BA7DBB3" w:rsidR="00985750" w:rsidRPr="00FD4268" w:rsidRDefault="00985750" w:rsidP="00040EC7">
            <w:pPr>
              <w:jc w:val="center"/>
              <w:rPr>
                <w:rFonts w:ascii="Garamond" w:hAnsi="Garamond" w:cstheme="minorHAnsi"/>
              </w:rPr>
            </w:pPr>
            <w:r w:rsidRPr="00FD4268">
              <w:rPr>
                <w:rFonts w:ascii="Garamond" w:hAnsi="Garamond" w:cstheme="minorHAnsi"/>
              </w:rPr>
              <w:t>0.87</w:t>
            </w:r>
          </w:p>
        </w:tc>
        <w:tc>
          <w:tcPr>
            <w:tcW w:w="1632" w:type="dxa"/>
            <w:vAlign w:val="center"/>
          </w:tcPr>
          <w:p w14:paraId="6586C43E" w14:textId="124501D5" w:rsidR="00985750" w:rsidRPr="00FD4268" w:rsidRDefault="00985750" w:rsidP="00040EC7">
            <w:pPr>
              <w:jc w:val="center"/>
              <w:rPr>
                <w:rFonts w:ascii="Garamond" w:hAnsi="Garamond" w:cstheme="minorHAnsi"/>
              </w:rPr>
            </w:pPr>
            <w:r w:rsidRPr="00FD4268">
              <w:rPr>
                <w:rFonts w:ascii="Garamond" w:hAnsi="Garamond" w:cstheme="minorHAnsi"/>
              </w:rPr>
              <w:t>0.29</w:t>
            </w:r>
          </w:p>
        </w:tc>
        <w:tc>
          <w:tcPr>
            <w:tcW w:w="1350" w:type="dxa"/>
            <w:vAlign w:val="center"/>
          </w:tcPr>
          <w:p w14:paraId="7E235DE7" w14:textId="4BEC3002" w:rsidR="00985750" w:rsidRPr="00FD4268" w:rsidRDefault="00985750" w:rsidP="00040EC7">
            <w:pPr>
              <w:jc w:val="center"/>
              <w:rPr>
                <w:rFonts w:ascii="Garamond" w:hAnsi="Garamond" w:cstheme="minorHAnsi"/>
              </w:rPr>
            </w:pPr>
            <w:r w:rsidRPr="00FD4268">
              <w:rPr>
                <w:rFonts w:ascii="Garamond" w:hAnsi="Garamond" w:cstheme="minorHAnsi"/>
              </w:rPr>
              <w:t>8.83</w:t>
            </w:r>
          </w:p>
        </w:tc>
        <w:tc>
          <w:tcPr>
            <w:tcW w:w="963" w:type="dxa"/>
            <w:vAlign w:val="center"/>
          </w:tcPr>
          <w:p w14:paraId="2DD66FE3" w14:textId="77777777" w:rsidR="00985750" w:rsidRPr="00FD4268" w:rsidRDefault="00985750" w:rsidP="00040EC7">
            <w:pPr>
              <w:jc w:val="center"/>
              <w:rPr>
                <w:rFonts w:ascii="Garamond" w:hAnsi="Garamond" w:cstheme="minorHAnsi"/>
              </w:rPr>
            </w:pPr>
            <w:r w:rsidRPr="00FD4268">
              <w:rPr>
                <w:rFonts w:ascii="Garamond" w:hAnsi="Garamond" w:cstheme="minorHAnsi"/>
              </w:rPr>
              <w:t>0.00</w:t>
            </w:r>
          </w:p>
        </w:tc>
        <w:tc>
          <w:tcPr>
            <w:tcW w:w="1912" w:type="dxa"/>
            <w:vAlign w:val="center"/>
          </w:tcPr>
          <w:p w14:paraId="168F32CE" w14:textId="624DC37F" w:rsidR="00985750" w:rsidRPr="00FD4268" w:rsidRDefault="00985750" w:rsidP="00040EC7">
            <w:pPr>
              <w:jc w:val="center"/>
              <w:rPr>
                <w:rFonts w:ascii="Garamond" w:hAnsi="Garamond" w:cstheme="minorHAnsi"/>
              </w:rPr>
            </w:pPr>
            <w:r w:rsidRPr="00FD4268">
              <w:rPr>
                <w:rFonts w:ascii="Garamond" w:hAnsi="Garamond" w:cstheme="minorHAnsi"/>
              </w:rPr>
              <w:t>2.38</w:t>
            </w:r>
          </w:p>
        </w:tc>
      </w:tr>
    </w:tbl>
    <w:p w14:paraId="2C1D3258" w14:textId="77777777" w:rsidR="00985750" w:rsidRPr="00FD4268" w:rsidRDefault="00985750" w:rsidP="00EB7C13">
      <w:pPr>
        <w:spacing w:after="0"/>
        <w:rPr>
          <w:rFonts w:ascii="Garamond" w:hAnsi="Garamond" w:cstheme="minorHAnsi"/>
        </w:rPr>
      </w:pPr>
    </w:p>
    <w:p w14:paraId="3E010404" w14:textId="77777777" w:rsidR="00DF2488" w:rsidRDefault="00DF2488" w:rsidP="00EB7C13">
      <w:pPr>
        <w:spacing w:after="0"/>
        <w:rPr>
          <w:rFonts w:ascii="Garamond" w:hAnsi="Garamond" w:cstheme="minorHAnsi"/>
        </w:rPr>
      </w:pPr>
    </w:p>
    <w:p w14:paraId="55CD7C72" w14:textId="77777777" w:rsidR="00DF2488" w:rsidRDefault="00DF2488" w:rsidP="00EB7C13">
      <w:pPr>
        <w:spacing w:after="0"/>
        <w:rPr>
          <w:rFonts w:ascii="Garamond" w:hAnsi="Garamond" w:cstheme="minorHAnsi"/>
        </w:rPr>
      </w:pPr>
    </w:p>
    <w:p w14:paraId="1A483358" w14:textId="472C14F4" w:rsidR="002C57B2" w:rsidRPr="00FD4268" w:rsidRDefault="002C57B2" w:rsidP="00DF2488">
      <w:pPr>
        <w:spacing w:after="120"/>
        <w:rPr>
          <w:rFonts w:ascii="Garamond" w:hAnsi="Garamond" w:cstheme="minorHAnsi"/>
        </w:rPr>
      </w:pPr>
      <w:r w:rsidRPr="00FD4268">
        <w:rPr>
          <w:rFonts w:ascii="Garamond" w:hAnsi="Garamond" w:cstheme="minorHAnsi"/>
        </w:rPr>
        <w:lastRenderedPageBreak/>
        <w:t>The reduced model takes the form:</w:t>
      </w:r>
    </w:p>
    <w:p w14:paraId="63EEC560" w14:textId="012CB1EE" w:rsidR="00466D41" w:rsidRPr="00FD4268" w:rsidRDefault="002C57B2" w:rsidP="00DF2488">
      <w:pPr>
        <w:spacing w:after="120"/>
        <w:rPr>
          <w:rFonts w:ascii="Garamond" w:hAnsi="Garamond"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m:rPr>
              <m:sty m:val="p"/>
            </m:rPr>
            <w:rPr>
              <w:rFonts w:ascii="Cambria Math" w:hAnsi="Cambria Math" w:cstheme="minorHAnsi"/>
            </w:rPr>
            <m:t>exp⁡</m:t>
          </m:r>
          <m:r>
            <w:rPr>
              <w:rFonts w:ascii="Cambria Math" w:hAnsi="Cambria Math" w:cstheme="minorHAnsi"/>
            </w:rPr>
            <m:t>(-0.19trtStandard-0.30celltypeSquamous+0.79celltypeSmallcell+0.87celltypeAdeno)</m:t>
          </m:r>
        </m:oMath>
      </m:oMathPara>
    </w:p>
    <w:p w14:paraId="39F76265" w14:textId="2AB2B068" w:rsidR="002C57B2" w:rsidRPr="00FD4268" w:rsidRDefault="002C57B2" w:rsidP="00DF2488">
      <w:pPr>
        <w:spacing w:after="120"/>
        <w:rPr>
          <w:rFonts w:ascii="Garamond" w:hAnsi="Garamond" w:cstheme="minorHAnsi"/>
        </w:rPr>
      </w:pPr>
      <w:r w:rsidRPr="00FD4268">
        <w:rPr>
          <w:rFonts w:ascii="Garamond" w:hAnsi="Garamond" w:cstheme="minorHAnsi"/>
        </w:rPr>
        <w:t>The following inferences can be made from the reduced (“best”) model:</w:t>
      </w:r>
    </w:p>
    <w:p w14:paraId="5266B9D3" w14:textId="36E4AACB" w:rsidR="002C57B2" w:rsidRPr="00FD4268" w:rsidRDefault="002C57B2" w:rsidP="00040EC7">
      <w:pPr>
        <w:spacing w:after="60"/>
        <w:ind w:left="288"/>
        <w:rPr>
          <w:rFonts w:ascii="Garamond" w:hAnsi="Garamond" w:cstheme="minorHAnsi"/>
        </w:rPr>
      </w:pPr>
      <w:r w:rsidRPr="00FD4268">
        <w:rPr>
          <w:rFonts w:ascii="Garamond" w:hAnsi="Garamond" w:cstheme="minorHAnsi"/>
        </w:rPr>
        <w:t>1. The risk of death for patients given the standard lung cancer therapy is 0.82 times the risk of death for patients given the test chemotherapy.</w:t>
      </w:r>
    </w:p>
    <w:p w14:paraId="49F3B5F5" w14:textId="3507805D" w:rsidR="002C57B2" w:rsidRPr="00FD4268" w:rsidRDefault="002C57B2" w:rsidP="00040EC7">
      <w:pPr>
        <w:spacing w:after="60"/>
        <w:ind w:left="288"/>
        <w:rPr>
          <w:rFonts w:ascii="Garamond" w:hAnsi="Garamond" w:cstheme="minorHAnsi"/>
        </w:rPr>
      </w:pPr>
      <w:r w:rsidRPr="00FD4268">
        <w:rPr>
          <w:rFonts w:ascii="Garamond" w:hAnsi="Garamond" w:cstheme="minorHAnsi"/>
        </w:rPr>
        <w:t>2. The risk of death for patients with squamous tumor cells is 0.7</w:t>
      </w:r>
      <w:r w:rsidR="005575E4" w:rsidRPr="00FD4268">
        <w:rPr>
          <w:rFonts w:ascii="Garamond" w:hAnsi="Garamond" w:cstheme="minorHAnsi"/>
        </w:rPr>
        <w:t>4</w:t>
      </w:r>
      <w:r w:rsidRPr="00FD4268">
        <w:rPr>
          <w:rFonts w:ascii="Garamond" w:hAnsi="Garamond" w:cstheme="minorHAnsi"/>
        </w:rPr>
        <w:t xml:space="preserve"> times the risk of death for the reference group (patients with large tumor cells). </w:t>
      </w:r>
    </w:p>
    <w:p w14:paraId="25985DD5" w14:textId="17A6ACFE" w:rsidR="002C57B2" w:rsidRPr="00FD4268" w:rsidRDefault="002C57B2" w:rsidP="00040EC7">
      <w:pPr>
        <w:spacing w:after="60"/>
        <w:ind w:left="288"/>
        <w:rPr>
          <w:rFonts w:ascii="Garamond" w:hAnsi="Garamond" w:cstheme="minorHAnsi"/>
        </w:rPr>
      </w:pPr>
      <w:r w:rsidRPr="00FD4268">
        <w:rPr>
          <w:rFonts w:ascii="Garamond" w:hAnsi="Garamond" w:cstheme="minorHAnsi"/>
        </w:rPr>
        <w:t xml:space="preserve">3. The risk of death for patients with </w:t>
      </w:r>
      <w:proofErr w:type="spellStart"/>
      <w:r w:rsidRPr="00FD4268">
        <w:rPr>
          <w:rFonts w:ascii="Garamond" w:hAnsi="Garamond" w:cstheme="minorHAnsi"/>
        </w:rPr>
        <w:t>smallcell</w:t>
      </w:r>
      <w:proofErr w:type="spellEnd"/>
      <w:r w:rsidRPr="00FD4268">
        <w:rPr>
          <w:rFonts w:ascii="Garamond" w:hAnsi="Garamond" w:cstheme="minorHAnsi"/>
        </w:rPr>
        <w:t xml:space="preserve"> tumor cells is 2.</w:t>
      </w:r>
      <w:r w:rsidR="005575E4" w:rsidRPr="00FD4268">
        <w:rPr>
          <w:rFonts w:ascii="Garamond" w:hAnsi="Garamond" w:cstheme="minorHAnsi"/>
        </w:rPr>
        <w:t>2</w:t>
      </w:r>
      <w:r w:rsidRPr="00FD4268">
        <w:rPr>
          <w:rFonts w:ascii="Garamond" w:hAnsi="Garamond" w:cstheme="minorHAnsi"/>
        </w:rPr>
        <w:t>1 times the risk of death for the reference group (patients with large tumor cells).</w:t>
      </w:r>
    </w:p>
    <w:p w14:paraId="6F825416" w14:textId="2426616C" w:rsidR="00EB7C13" w:rsidRPr="00DF2488" w:rsidRDefault="002C57B2" w:rsidP="00040EC7">
      <w:pPr>
        <w:spacing w:after="60"/>
        <w:ind w:left="288"/>
        <w:rPr>
          <w:rFonts w:ascii="Garamond" w:hAnsi="Garamond" w:cstheme="minorHAnsi"/>
        </w:rPr>
      </w:pPr>
      <w:r w:rsidRPr="00FD4268">
        <w:rPr>
          <w:rFonts w:ascii="Garamond" w:hAnsi="Garamond" w:cstheme="minorHAnsi"/>
        </w:rPr>
        <w:t>4. The risk of death for patients with adeno tumor cells is 2.</w:t>
      </w:r>
      <w:r w:rsidR="005575E4" w:rsidRPr="00FD4268">
        <w:rPr>
          <w:rFonts w:ascii="Garamond" w:hAnsi="Garamond" w:cstheme="minorHAnsi"/>
        </w:rPr>
        <w:t>38</w:t>
      </w:r>
      <w:r w:rsidRPr="00FD4268">
        <w:rPr>
          <w:rFonts w:ascii="Garamond" w:hAnsi="Garamond" w:cstheme="minorHAnsi"/>
        </w:rPr>
        <w:t xml:space="preserve"> times the risk of death for the reference group (patients with large tumor cells).</w:t>
      </w:r>
    </w:p>
    <w:p w14:paraId="52BD8646" w14:textId="77777777" w:rsidR="00C40FDC" w:rsidRPr="00DF2488" w:rsidRDefault="00C40FDC" w:rsidP="00DF2488">
      <w:pPr>
        <w:pStyle w:val="Heading1"/>
        <w:spacing w:before="0" w:after="60"/>
        <w:jc w:val="center"/>
        <w:rPr>
          <w:rFonts w:ascii="Garamond" w:hAnsi="Garamond"/>
          <w:b/>
          <w:color w:val="auto"/>
          <w:sz w:val="24"/>
          <w:szCs w:val="24"/>
        </w:rPr>
      </w:pPr>
      <w:r w:rsidRPr="00DF2488">
        <w:rPr>
          <w:rFonts w:ascii="Garamond" w:hAnsi="Garamond"/>
          <w:b/>
          <w:color w:val="auto"/>
          <w:sz w:val="24"/>
          <w:szCs w:val="24"/>
        </w:rPr>
        <w:t>Discussion</w:t>
      </w:r>
    </w:p>
    <w:p w14:paraId="4995D449" w14:textId="5A5B980B" w:rsidR="009A3796" w:rsidRPr="00FD4268" w:rsidRDefault="000E23A2" w:rsidP="00DF2488">
      <w:pPr>
        <w:spacing w:after="60"/>
        <w:rPr>
          <w:rFonts w:ascii="Garamond" w:hAnsi="Garamond" w:cstheme="minorHAnsi"/>
        </w:rPr>
      </w:pPr>
      <w:r w:rsidRPr="00FD4268">
        <w:rPr>
          <w:rFonts w:ascii="Garamond" w:hAnsi="Garamond" w:cstheme="minorHAnsi"/>
        </w:rPr>
        <w:t xml:space="preserve">This analysis aimed to determine the treatment effect on time to death for V.A. lung cancer patients, as well as to determine if any other covariates could be prognostic tools. Treatment type was not determined to be a significant covariate in the model of time to death for this data, but </w:t>
      </w:r>
      <w:r w:rsidR="00811C6B" w:rsidRPr="00FD4268">
        <w:rPr>
          <w:rFonts w:ascii="Garamond" w:hAnsi="Garamond" w:cstheme="minorHAnsi"/>
        </w:rPr>
        <w:t xml:space="preserve">it was determined that the risk of death is slightly lower for patients given the standard therapy. Further, it was determined that tumor cell type could be used to determine the risk of death for lung cancer patients and that squamous tumor cells were attributed to lower risk of death, versus the higher risk associated with the presence of </w:t>
      </w:r>
      <w:proofErr w:type="spellStart"/>
      <w:r w:rsidR="00811C6B" w:rsidRPr="00FD4268">
        <w:rPr>
          <w:rFonts w:ascii="Garamond" w:hAnsi="Garamond" w:cstheme="minorHAnsi"/>
        </w:rPr>
        <w:t>smallcell</w:t>
      </w:r>
      <w:proofErr w:type="spellEnd"/>
      <w:r w:rsidR="00811C6B" w:rsidRPr="00FD4268">
        <w:rPr>
          <w:rFonts w:ascii="Garamond" w:hAnsi="Garamond" w:cstheme="minorHAnsi"/>
        </w:rPr>
        <w:t xml:space="preserve"> and adeno tumor cells. </w:t>
      </w:r>
    </w:p>
    <w:p w14:paraId="06E4CBC5" w14:textId="4C1D2DEF" w:rsidR="00811C6B" w:rsidRPr="00FD4268" w:rsidRDefault="00811C6B" w:rsidP="00DF2488">
      <w:pPr>
        <w:spacing w:after="60"/>
        <w:rPr>
          <w:rFonts w:ascii="Garamond" w:hAnsi="Garamond"/>
        </w:rPr>
      </w:pPr>
      <w:r w:rsidRPr="00FD4268">
        <w:rPr>
          <w:rFonts w:ascii="Garamond" w:hAnsi="Garamond"/>
        </w:rPr>
        <w:t xml:space="preserve">The inferences drawn from this analysis have some caveats. The first is that </w:t>
      </w:r>
      <w:proofErr w:type="spellStart"/>
      <w:r w:rsidRPr="00FD4268">
        <w:rPr>
          <w:rFonts w:ascii="Garamond" w:hAnsi="Garamond"/>
        </w:rPr>
        <w:t>Karnofsky</w:t>
      </w:r>
      <w:proofErr w:type="spellEnd"/>
      <w:r w:rsidRPr="00FD4268">
        <w:rPr>
          <w:rFonts w:ascii="Garamond" w:hAnsi="Garamond"/>
        </w:rPr>
        <w:t xml:space="preserve"> score is not considered in this model</w:t>
      </w:r>
      <w:r w:rsidR="00B75FA1" w:rsidRPr="00FD4268">
        <w:rPr>
          <w:rFonts w:ascii="Garamond" w:hAnsi="Garamond"/>
        </w:rPr>
        <w:t xml:space="preserve"> and could be relevant to the risk of death. Further analysis the reintroduces this covariate is recommended to understand its influence on the time to death. Since the primary goal of this study was to assess the treatment effect on time to death, the exclusion of this covariate from the model should not impact the conclusion drawn about treatment effect, however.</w:t>
      </w:r>
    </w:p>
    <w:p w14:paraId="16781187" w14:textId="3F9F3564" w:rsidR="00B75FA1" w:rsidRPr="00FD4268" w:rsidRDefault="00B75FA1" w:rsidP="009A3796">
      <w:pPr>
        <w:rPr>
          <w:rFonts w:ascii="Garamond" w:hAnsi="Garamond"/>
        </w:rPr>
      </w:pPr>
      <w:r w:rsidRPr="00FD4268">
        <w:rPr>
          <w:rFonts w:ascii="Garamond" w:hAnsi="Garamond"/>
        </w:rPr>
        <w:t xml:space="preserve">This analysis involved through </w:t>
      </w:r>
      <w:r w:rsidR="00EC20A7" w:rsidRPr="00FD4268">
        <w:rPr>
          <w:rFonts w:ascii="Garamond" w:hAnsi="Garamond"/>
        </w:rPr>
        <w:t>examination</w:t>
      </w:r>
      <w:r w:rsidRPr="00FD4268">
        <w:rPr>
          <w:rFonts w:ascii="Garamond" w:hAnsi="Garamond"/>
        </w:rPr>
        <w:t xml:space="preserve"> of model assumptions to ensure the validity of the inferences made. The scope of the study was refined to only examine variables that could accurately be interpreted using the Cox Proportional Hazard model. </w:t>
      </w:r>
      <w:r w:rsidR="00EC20A7" w:rsidRPr="00FD4268">
        <w:rPr>
          <w:rFonts w:ascii="Garamond" w:hAnsi="Garamond"/>
        </w:rPr>
        <w:t>Overall, the goals for this study were achieved using the methods discussed in this paper.</w:t>
      </w:r>
    </w:p>
    <w:p w14:paraId="401B0F6D" w14:textId="70F183AB" w:rsidR="00DA3CAA" w:rsidRPr="00FD4268" w:rsidRDefault="00DA3CAA" w:rsidP="00C644B5">
      <w:pPr>
        <w:rPr>
          <w:rFonts w:ascii="Garamond" w:hAnsi="Garamond"/>
        </w:rPr>
      </w:pPr>
      <w:bookmarkStart w:id="0" w:name="_GoBack"/>
      <w:bookmarkEnd w:id="0"/>
    </w:p>
    <w:sectPr w:rsidR="00DA3CAA" w:rsidRPr="00FD426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42C9" w14:textId="77777777" w:rsidR="00161A07" w:rsidRDefault="00161A07" w:rsidP="00C353E1">
      <w:pPr>
        <w:spacing w:after="0" w:line="240" w:lineRule="auto"/>
      </w:pPr>
      <w:r>
        <w:separator/>
      </w:r>
    </w:p>
  </w:endnote>
  <w:endnote w:type="continuationSeparator" w:id="0">
    <w:p w14:paraId="1ADCC83B" w14:textId="77777777" w:rsidR="00161A07" w:rsidRDefault="00161A07" w:rsidP="00C3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53E02" w14:textId="77777777" w:rsidR="00161A07" w:rsidRDefault="00161A07" w:rsidP="00C353E1">
      <w:pPr>
        <w:spacing w:after="0" w:line="240" w:lineRule="auto"/>
      </w:pPr>
      <w:r>
        <w:separator/>
      </w:r>
    </w:p>
  </w:footnote>
  <w:footnote w:type="continuationSeparator" w:id="0">
    <w:p w14:paraId="593D86BD" w14:textId="77777777" w:rsidR="00161A07" w:rsidRDefault="00161A07" w:rsidP="00C35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E36FD" w14:textId="77777777" w:rsidR="00C353E1" w:rsidRDefault="00C35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3213"/>
    <w:multiLevelType w:val="hybridMultilevel"/>
    <w:tmpl w:val="85DC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08"/>
    <w:rsid w:val="00001A63"/>
    <w:rsid w:val="0001071D"/>
    <w:rsid w:val="00040EC7"/>
    <w:rsid w:val="00045841"/>
    <w:rsid w:val="000A41C5"/>
    <w:rsid w:val="000A42EF"/>
    <w:rsid w:val="000E23A2"/>
    <w:rsid w:val="001200C7"/>
    <w:rsid w:val="00161A07"/>
    <w:rsid w:val="001A36C8"/>
    <w:rsid w:val="001C7F17"/>
    <w:rsid w:val="001E6147"/>
    <w:rsid w:val="00211008"/>
    <w:rsid w:val="00295E29"/>
    <w:rsid w:val="002C57B2"/>
    <w:rsid w:val="003349FF"/>
    <w:rsid w:val="00377258"/>
    <w:rsid w:val="003C2BC5"/>
    <w:rsid w:val="003D2581"/>
    <w:rsid w:val="00466D41"/>
    <w:rsid w:val="004819DB"/>
    <w:rsid w:val="004A75B1"/>
    <w:rsid w:val="005575E4"/>
    <w:rsid w:val="00566E51"/>
    <w:rsid w:val="005721E8"/>
    <w:rsid w:val="00580973"/>
    <w:rsid w:val="005975FD"/>
    <w:rsid w:val="005E08F9"/>
    <w:rsid w:val="006573F0"/>
    <w:rsid w:val="00683F06"/>
    <w:rsid w:val="006C6132"/>
    <w:rsid w:val="007B3EFE"/>
    <w:rsid w:val="007C75A9"/>
    <w:rsid w:val="007D65AA"/>
    <w:rsid w:val="007E45DE"/>
    <w:rsid w:val="00801FAB"/>
    <w:rsid w:val="00811C6B"/>
    <w:rsid w:val="008D45F9"/>
    <w:rsid w:val="0091215A"/>
    <w:rsid w:val="00966C8C"/>
    <w:rsid w:val="00985750"/>
    <w:rsid w:val="009A3796"/>
    <w:rsid w:val="009C37E0"/>
    <w:rsid w:val="00A32F01"/>
    <w:rsid w:val="00A832C6"/>
    <w:rsid w:val="00B40A97"/>
    <w:rsid w:val="00B53322"/>
    <w:rsid w:val="00B57851"/>
    <w:rsid w:val="00B75FA1"/>
    <w:rsid w:val="00BF5F6A"/>
    <w:rsid w:val="00C353E1"/>
    <w:rsid w:val="00C40FDC"/>
    <w:rsid w:val="00C51052"/>
    <w:rsid w:val="00C644B5"/>
    <w:rsid w:val="00DA167E"/>
    <w:rsid w:val="00DA3CAA"/>
    <w:rsid w:val="00DE738A"/>
    <w:rsid w:val="00DF2488"/>
    <w:rsid w:val="00E3673E"/>
    <w:rsid w:val="00E77B76"/>
    <w:rsid w:val="00EA5355"/>
    <w:rsid w:val="00EB7C13"/>
    <w:rsid w:val="00EC20A7"/>
    <w:rsid w:val="00EC279D"/>
    <w:rsid w:val="00F707A5"/>
    <w:rsid w:val="00F86D24"/>
    <w:rsid w:val="00F94874"/>
    <w:rsid w:val="00FA10D7"/>
    <w:rsid w:val="00FD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BE8A"/>
  <w15:chartTrackingRefBased/>
  <w15:docId w15:val="{EFB271AE-47C0-43A2-A7F0-B63510A0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08"/>
    <w:pPr>
      <w:ind w:left="720"/>
      <w:contextualSpacing/>
    </w:pPr>
  </w:style>
  <w:style w:type="character" w:customStyle="1" w:styleId="Heading1Char">
    <w:name w:val="Heading 1 Char"/>
    <w:basedOn w:val="DefaultParagraphFont"/>
    <w:link w:val="Heading1"/>
    <w:uiPriority w:val="9"/>
    <w:rsid w:val="003D25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57B2"/>
    <w:rPr>
      <w:color w:val="808080"/>
    </w:rPr>
  </w:style>
  <w:style w:type="paragraph" w:styleId="Header">
    <w:name w:val="header"/>
    <w:basedOn w:val="Normal"/>
    <w:link w:val="HeaderChar"/>
    <w:uiPriority w:val="99"/>
    <w:unhideWhenUsed/>
    <w:rsid w:val="00C3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3E1"/>
  </w:style>
  <w:style w:type="paragraph" w:styleId="Footer">
    <w:name w:val="footer"/>
    <w:basedOn w:val="Normal"/>
    <w:link w:val="FooterChar"/>
    <w:uiPriority w:val="99"/>
    <w:unhideWhenUsed/>
    <w:rsid w:val="00C3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98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2</cp:revision>
  <dcterms:created xsi:type="dcterms:W3CDTF">2019-02-20T16:15:00Z</dcterms:created>
  <dcterms:modified xsi:type="dcterms:W3CDTF">2019-02-20T16:15:00Z</dcterms:modified>
</cp:coreProperties>
</file>