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2880" w:after="280"/>
        <w:jc w:val="center"/>
      </w:pPr>
      <w:r>
        <w:rPr>
          <w:b/>
          <w:bCs/>
          <w:color w:val="1b2b4b"/>
          <w:sz w:val="64"/>
          <w:szCs w:val="64"/>
        </w:rPr>
        <w:t>TCC-Lab</w:t>
      </w:r>
      <w:r/>
    </w:p>
    <w:p>
      <w:pPr>
        <w:spacing w:after="180"/>
        <w:jc w:val="center"/>
      </w:pPr>
      <w:r>
        <w:rPr>
          <w:color w:val="2d5fa0"/>
          <w:sz w:val="36"/>
          <w:szCs w:val="36"/>
        </w:rPr>
        <w:t>Informe Técnico-Clínico</w:t>
      </w:r>
      <w:r/>
    </w:p>
    <w:p>
      <w:pPr>
        <w:spacing w:after="600"/>
        <w:jc w:val="center"/>
      </w:pPr>
      <w:r>
        <w:rPr>
          <w:i/>
          <w:iCs/>
          <w:color w:val="666666"/>
          <w:sz w:val="24"/>
          <w:szCs w:val="24"/>
        </w:rPr>
        <w:t>Módulo de Registro de Paciente e Integración de Flujos Clínicos</w:t>
      </w:r>
      <w:r/>
    </w:p>
    <w:tbl>
      <w:tblPr>
        <w:name w:val="Tabla1"/>
        <w:tabOrder w:val="0"/>
        <w:jc w:val="left"/>
        <w:tblInd w:w="0" w:type="dxa"/>
        <w:tblW w:w="9026" w:type="dxa"/>
      </w:tblPr>
      <w:tblGrid>
        <w:gridCol w:w="4513"/>
        <w:gridCol w:w="4513"/>
      </w:tblGrid>
      <w:tr>
        <w:trPr>
          <w:tblHeader w:val="0"/>
          <w:cantSplit w:val="0"/>
          <w:trHeight w:val="0" w:hRule="auto"/>
        </w:trPr>
        <w:tc>
          <w:tcPr>
            <w:tcW w:w="4513" w:type="dxa"/>
            <w:shd w:val="solid" w:color="D6E4F5" tmshd="1677721856, 0, 16114902"/>
            <w:tcMar>
              <w:top w:w="200" w:type="dxa"/>
              <w:left w:w="240" w:type="dxa"/>
              <w:bottom w:w="200" w:type="dxa"/>
              <w:right w:w="240" w:type="dxa"/>
            </w:tcMar>
            <w:tcBorders>
              <w:top w:val="nil" w:sz="0" w:space="0" w:color="FFFFFF" tmln="20, 20, 20, 0, 0"/>
              <w:left w:val="nil" w:sz="0" w:space="0" w:color="FFFFFF" tmln="20, 20, 20, 0, 0"/>
              <w:bottom w:val="nil" w:sz="0" w:space="0" w:color="FFFFFF" tmln="20, 20, 20, 0, 0"/>
              <w:right w:val="nil" w:sz="0" w:space="0" w:color="FFFFFF" tmln="20, 20, 20, 0, 0"/>
              <w:tl2br w:val="nil" w:sz="0" w:space="0" w:color="000000" tmln="20, 20, 20, 0, 0"/>
              <w:tr2bl w:val="nil" w:sz="0" w:space="0" w:color="000000" tmln="20, 20, 20, 0, 0"/>
            </w:tcBorders>
            <w:tmTcPr id="1773673510" protected="0"/>
          </w:tcPr>
          <w:p>
            <w:pPr/>
            <w:r>
              <w:rPr>
                <w:b/>
                <w:bCs/>
                <w:color w:val="2d5fa0"/>
                <w:sz w:val="18"/>
                <w:szCs w:val="18"/>
              </w:rPr>
              <w:t>Versión</w:t>
            </w:r>
            <w:r/>
          </w:p>
          <w:p>
            <w:pPr/>
            <w:r>
              <w:rPr>
                <w:color w:val="1a1a2e"/>
              </w:rPr>
              <w:t>1.0.0</w:t>
            </w:r>
            <w:r/>
          </w:p>
        </w:tc>
        <w:tc>
          <w:tcPr>
            <w:tcW w:w="4513" w:type="dxa"/>
            <w:shd w:val="solid" w:color="D6E4F5" tmshd="1677721856, 0, 16114902"/>
            <w:tcMar>
              <w:top w:w="200" w:type="dxa"/>
              <w:left w:w="240" w:type="dxa"/>
              <w:bottom w:w="200" w:type="dxa"/>
              <w:right w:w="240" w:type="dxa"/>
            </w:tcMar>
            <w:tcBorders>
              <w:top w:val="nil" w:sz="0" w:space="0" w:color="FFFFFF" tmln="20, 20, 20, 0, 0"/>
              <w:left w:val="nil" w:sz="0" w:space="0" w:color="FFFFFF" tmln="20, 20, 20, 0, 0"/>
              <w:bottom w:val="nil" w:sz="0" w:space="0" w:color="FFFFFF" tmln="20, 20, 20, 0, 0"/>
              <w:right w:val="nil" w:sz="0" w:space="0" w:color="FFFFFF" tmln="20, 20, 20, 0, 0"/>
              <w:tl2br w:val="nil" w:sz="0" w:space="0" w:color="000000" tmln="20, 20, 20, 0, 0"/>
              <w:tr2bl w:val="nil" w:sz="0" w:space="0" w:color="000000" tmln="20, 20, 20, 0, 0"/>
            </w:tcBorders>
            <w:tmTcPr id="1773673510" protected="0"/>
          </w:tcPr>
          <w:p>
            <w:pPr/>
            <w:r>
              <w:rPr>
                <w:b/>
                <w:bCs/>
                <w:color w:val="2d5fa0"/>
                <w:sz w:val="18"/>
                <w:szCs w:val="18"/>
              </w:rPr>
              <w:t>Fecha</w:t>
            </w:r>
            <w:r/>
          </w:p>
          <w:p>
            <w:pPr/>
            <w:r>
              <w:rPr>
                <w:color w:val="1a1a2e"/>
              </w:rPr>
              <w:t>2026-03-16</w:t>
            </w:r>
            <w:r/>
          </w:p>
        </w:tc>
      </w:tr>
      <w:tr>
        <w:trPr>
          <w:tblHeader w:val="0"/>
          <w:cantSplit w:val="0"/>
          <w:trHeight w:val="0" w:hRule="auto"/>
        </w:trPr>
        <w:tc>
          <w:tcPr>
            <w:tcW w:w="4513" w:type="dxa"/>
            <w:shd w:val="none"/>
            <w:tcMar>
              <w:top w:w="200" w:type="dxa"/>
              <w:left w:w="240" w:type="dxa"/>
              <w:bottom w:w="200" w:type="dxa"/>
              <w:right w:w="24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3673510" protected="0"/>
          </w:tcPr>
          <w:p>
            <w:pPr/>
            <w:r>
              <w:rPr>
                <w:b/>
                <w:bCs/>
                <w:color w:val="666666"/>
                <w:sz w:val="18"/>
                <w:szCs w:val="18"/>
              </w:rPr>
              <w:t>Proyecto</w:t>
            </w:r>
            <w:r/>
          </w:p>
          <w:p>
            <w:pPr/>
            <w:r>
              <w:rPr>
                <w:color w:val="1a1a2e"/>
              </w:rPr>
              <w:t>TCC-Lab — Laboratorio Clínico TCC/AC</w:t>
            </w:r>
            <w:r/>
          </w:p>
        </w:tc>
        <w:tc>
          <w:tcPr>
            <w:tcW w:w="4513" w:type="dxa"/>
            <w:shd w:val="none"/>
            <w:tcMar>
              <w:top w:w="200" w:type="dxa"/>
              <w:left w:w="240" w:type="dxa"/>
              <w:bottom w:w="200" w:type="dxa"/>
              <w:right w:w="24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3673510" protected="0"/>
          </w:tcPr>
          <w:p>
            <w:pPr/>
            <w:r>
              <w:rPr>
                <w:b/>
                <w:bCs/>
                <w:color w:val="666666"/>
                <w:sz w:val="18"/>
                <w:szCs w:val="18"/>
              </w:rPr>
              <w:t>Clasificación</w:t>
            </w:r>
            <w:r/>
          </w:p>
          <w:p>
            <w:pPr/>
            <w:r>
              <w:rPr>
                <w:color w:val="1a1a2e"/>
              </w:rPr>
              <w:t>Interno — Experimental</w:t>
            </w:r>
            <w:r/>
          </w:p>
        </w:tc>
      </w:tr>
    </w:tbl>
    <w:p>
      <w:pPr>
        <w:pStyle w:val="para2"/>
        <w:spacing w:before="360" w:after="180"/>
      </w:pPr>
      <w:r>
        <w:br w:type="page"/>
      </w:r>
      <w:r>
        <w:rPr>
          <w:b/>
          <w:bCs/>
          <w:color w:val="1b2b4b"/>
        </w:rPr>
        <w:t>1. Resumen Ejecutivo</w:t>
      </w:r>
      <w:r/>
    </w:p>
    <w:p>
      <w:pPr>
        <w:spacing w:before="80" w:after="120"/>
        <w:jc w:val="both"/>
      </w:pPr>
      <w:r>
        <w:rPr>
          <w:color w:val="1a1a1a"/>
        </w:rPr>
        <w:t>Este documento describe la implementación del módulo de Registro de Paciente en TCC-Lab y su integración con el resto de la arquitectura clínica y técnica del sistema. El módulo fue diseñado e implementado como parte del sprint de integración del módulo Interview con el flujo de primera sesión.</w:t>
      </w:r>
      <w:r/>
    </w:p>
    <w:p>
      <w:pPr>
        <w:spacing w:before="80" w:after="120"/>
        <w:jc w:val="both"/>
      </w:pPr>
      <w:r>
        <w:rPr>
          <w:color w:val="1a1a1a"/>
        </w:rPr>
        <w:t>TCC-Lab es un sistema experimental de apoyo a la práctica clínica en Terapia Cognitivo-Conductual (TCC) y Activación Conductual (AC). Permite al terapeuta guiar al paciente a través de un protocolo estructurado de sesión, con soporte de base de conocimiento (KB) y evaluación clínica asistida.</w:t>
      </w:r>
      <w:r/>
    </w:p>
    <w:p>
      <w:pPr>
        <w:spacing w:before="60" w:after="60"/>
      </w:pPr>
      <w:r/>
    </w:p>
    <w:tbl>
      <w:tblPr>
        <w:name w:val="Tabla2"/>
        <w:tabOrder w:val="0"/>
        <w:jc w:val="left"/>
        <w:tblInd w:w="0" w:type="dxa"/>
        <w:tblW w:w="9026" w:type="dxa"/>
      </w:tblPr>
      <w:tblGrid>
        <w:gridCol w:w="3000"/>
        <w:gridCol w:w="6026"/>
      </w:tblGrid>
      <w:tr>
        <w:trPr>
          <w:tblHeader/>
          <w:cantSplit w:val="0"/>
          <w:trHeight w:val="0" w:hRule="auto"/>
        </w:trPr>
        <w:tc>
          <w:tcPr>
            <w:tcW w:w="3000" w:type="dxa"/>
            <w:shd w:val="solid" w:color="1B2B4B" tmshd="1677721856, 0, 492623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ffffff"/>
              </w:rPr>
              <w:t>Componente</w:t>
            </w:r>
            <w:r/>
          </w:p>
        </w:tc>
        <w:tc>
          <w:tcPr>
            <w:tcW w:w="6026" w:type="dxa"/>
            <w:shd w:val="solid" w:color="1B2B4B" tmshd="1677721856, 0, 492623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ffffff"/>
              </w:rPr>
              <w:t>Estado</w:t>
            </w:r>
            <w:r/>
          </w:p>
        </w:tc>
      </w:tr>
      <w:tr>
        <w:trPr>
          <w:tblHeader w:val="0"/>
          <w:cantSplit w:val="0"/>
          <w:trHeight w:val="0" w:hRule="auto"/>
        </w:trPr>
        <w:tc>
          <w:tcPr>
            <w:tcW w:w="3000"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PatientRegisterScreen</w:t>
            </w:r>
            <w:r/>
          </w:p>
        </w:tc>
        <w:tc>
          <w:tcPr>
            <w:tcW w:w="6026"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Implementado y funcional</w:t>
            </w:r>
            <w:r/>
          </w:p>
        </w:tc>
      </w:tr>
      <w:tr>
        <w:trPr>
          <w:tblHeader w:val="0"/>
          <w:cantSplit w:val="0"/>
          <w:trHeight w:val="0" w:hRule="auto"/>
        </w:trPr>
        <w:tc>
          <w:tcPr>
            <w:tcW w:w="3000"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patientStore (Zustand + persist)</w:t>
            </w:r>
            <w:r/>
          </w:p>
        </w:tc>
        <w:tc>
          <w:tcPr>
            <w:tcW w:w="6026"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Implementado y funcional</w:t>
            </w:r>
            <w:r/>
          </w:p>
        </w:tc>
      </w:tr>
      <w:tr>
        <w:trPr>
          <w:tblHeader w:val="0"/>
          <w:cantSplit w:val="0"/>
          <w:trHeight w:val="0" w:hRule="auto"/>
        </w:trPr>
        <w:tc>
          <w:tcPr>
            <w:tcW w:w="3000"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IndexedDB PatientRecord</w:t>
            </w:r>
            <w:r/>
          </w:p>
        </w:tc>
        <w:tc>
          <w:tcPr>
            <w:tcW w:w="6026"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Implementado y funcional</w:t>
            </w:r>
            <w:r/>
          </w:p>
        </w:tc>
      </w:tr>
      <w:tr>
        <w:trPr>
          <w:tblHeader w:val="0"/>
          <w:cantSplit w:val="0"/>
          <w:trHeight w:val="0" w:hRule="auto"/>
        </w:trPr>
        <w:tc>
          <w:tcPr>
            <w:tcW w:w="3000"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Integración con /interview</w:t>
            </w:r>
            <w:r/>
          </w:p>
        </w:tc>
        <w:tc>
          <w:tcPr>
            <w:tcW w:w="6026"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Funcional (navegación post-registro)</w:t>
            </w:r>
            <w:r/>
          </w:p>
        </w:tc>
      </w:tr>
      <w:tr>
        <w:trPr>
          <w:tblHeader w:val="0"/>
          <w:cantSplit w:val="0"/>
          <w:trHeight w:val="0" w:hRule="auto"/>
        </w:trPr>
        <w:tc>
          <w:tcPr>
            <w:tcW w:w="3000"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Módulo Terapeuta — PatientsTab</w:t>
            </w:r>
            <w:r/>
          </w:p>
        </w:tc>
        <w:tc>
          <w:tcPr>
            <w:tcW w:w="6026"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Implementado: listado + carpeta por paciente</w:t>
            </w:r>
            <w:r/>
          </w:p>
        </w:tc>
      </w:tr>
      <w:tr>
        <w:trPr>
          <w:tblHeader w:val="0"/>
          <w:cantSplit w:val="0"/>
          <w:trHeight w:val="0" w:hRule="auto"/>
        </w:trPr>
        <w:tc>
          <w:tcPr>
            <w:tcW w:w="3000"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InterviewReport transfer</w:t>
            </w:r>
            <w:r/>
          </w:p>
        </w:tc>
        <w:tc>
          <w:tcPr>
            <w:tcW w:w="6026"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Funcional: sendReportToFolder()</w:t>
            </w:r>
            <w:r/>
          </w:p>
        </w:tc>
      </w:tr>
      <w:tr>
        <w:trPr>
          <w:tblHeader w:val="0"/>
          <w:cantSplit w:val="0"/>
          <w:trHeight w:val="0" w:hRule="auto"/>
        </w:trPr>
        <w:tc>
          <w:tcPr>
            <w:tcW w:w="3000"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Tests (287 tests)</w:t>
            </w:r>
            <w:r/>
          </w:p>
        </w:tc>
        <w:tc>
          <w:tcPr>
            <w:tcW w:w="6026" w:type="dxa"/>
            <w:shd w:val="solid" w:color="FFFFFF" tmshd="1677721856, 0, 16777215"/>
            <w:tcMar>
              <w:top w:w="80" w:type="dxa"/>
              <w:left w:w="120" w:type="dxa"/>
              <w:bottom w:w="8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Todos en verde</w:t>
            </w:r>
            <w:r/>
          </w:p>
        </w:tc>
      </w:tr>
      <w:tr>
        <w:trPr>
          <w:tblHeader w:val="0"/>
          <w:cantSplit w:val="0"/>
          <w:trHeight w:val="0" w:hRule="auto"/>
        </w:trPr>
        <w:tc>
          <w:tcPr>
            <w:tcW w:w="3000"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rPr>
                <w:rFonts w:ascii="Courier New" w:hAnsi="Courier New" w:eastAsia="Courier New" w:cs="Courier New"/>
                <w:b/>
                <w:bCs/>
                <w:color w:val="2d5fa0"/>
                <w:sz w:val="18"/>
                <w:szCs w:val="18"/>
              </w:rPr>
              <w:t>Knowledge audit (kb:audit)</w:t>
            </w:r>
            <w:r/>
          </w:p>
        </w:tc>
        <w:tc>
          <w:tcPr>
            <w:tcW w:w="6026" w:type="dxa"/>
            <w:shd w:val="solid" w:color="F5F8FC" tmshd="1677721856, 0, 16578805"/>
            <w:tcMar>
              <w:top w:w="80" w:type="dxa"/>
              <w:left w:w="120" w:type="dxa"/>
              <w:bottom w:w="8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rPr>
                <w:b/>
                <w:bCs/>
                <w:color w:val="2e7d32"/>
              </w:rPr>
              <w:t>69/69 v2, 20/20 v3, 25/25 bridge</w:t>
            </w:r>
            <w:r/>
          </w:p>
        </w:tc>
      </w:tr>
    </w:tbl>
    <w:p>
      <w:pPr>
        <w:pStyle w:val="para2"/>
        <w:spacing w:before="360" w:after="180"/>
      </w:pPr>
      <w:r>
        <w:br w:type="page"/>
      </w:r>
      <w:r>
        <w:rPr>
          <w:b/>
          <w:bCs/>
          <w:color w:val="1b2b4b"/>
        </w:rPr>
        <w:t>2. Módulo de Registro de Paciente</w:t>
      </w:r>
      <w:r/>
    </w:p>
    <w:p>
      <w:pPr>
        <w:pStyle w:val="para3"/>
        <w:spacing w:before="280" w:after="140"/>
      </w:pPr>
      <w:r>
        <w:rPr>
          <w:b/>
          <w:bCs/>
          <w:color w:val="2d5fa0"/>
        </w:rPr>
        <w:t>2.1 Objetivo Clínico</w:t>
      </w:r>
      <w:r/>
    </w:p>
    <w:p>
      <w:pPr>
        <w:spacing w:before="80" w:after="120"/>
        <w:jc w:val="both"/>
      </w:pPr>
      <w:r>
        <w:rPr>
          <w:color w:val="1a1a1a"/>
        </w:rPr>
        <w:t>El módulo de registro captura los datos mínimos necesarios para iniciar el proceso terapéutico antes de la primera entrevista. Su diseño sigue los principios de la formulación de caso de Persons (2008): recolectar datos que permitan hipotizar sobre el mecanismo subyacente del problema, sin imponer etiquetas diagnósticas prematuras.</w:t>
      </w:r>
      <w:r/>
    </w:p>
    <w:p>
      <w:pPr>
        <w:spacing w:before="80" w:after="120"/>
        <w:jc w:val="both"/>
      </w:pPr>
      <w:r>
        <w:rPr>
          <w:color w:val="1a1a1a"/>
        </w:rPr>
        <w:t>La separación entre datos obligatorios y opcionales respeta el principio de mínima invasividad en el primer contacto: el paciente puede comenzar con solo su nombre, fecha de nacimiento, género y motivo de consulta.</w:t>
      </w:r>
      <w:r/>
    </w:p>
    <w:p>
      <w:pPr>
        <w:spacing w:before="60" w:after="60"/>
      </w:pPr>
      <w:r/>
    </w:p>
    <w:p>
      <w:pPr>
        <w:pStyle w:val="para3"/>
        <w:spacing w:before="280" w:after="140"/>
      </w:pPr>
      <w:r>
        <w:rPr>
          <w:b/>
          <w:bCs/>
          <w:color w:val="2d5fa0"/>
        </w:rPr>
        <w:t>2.2 Flujo de Registro</w:t>
      </w:r>
      <w:r/>
    </w:p>
    <w:p>
      <w:pPr>
        <w:spacing w:before="80" w:after="120"/>
        <w:jc w:val="both"/>
      </w:pPr>
      <w:r>
        <w:rPr>
          <w:color w:val="1a1a1a"/>
        </w:rPr>
        <w:t>El flujo completo de registro sigue esta secuencia:</w:t>
      </w:r>
      <w:r/>
    </w:p>
    <w:p>
      <w:pPr>
        <w:pStyle w:val="para9"/>
        <w:numPr>
          <w:ilvl w:val="0"/>
          <w:numId w:val="5"/>
        </w:numPr>
        <w:ind w:left="720" w:hanging="360"/>
        <w:spacing w:before="60" w:after="60"/>
      </w:pPr>
      <w:r>
        <w:t>Verificación de paciente activo en patientStore: si existe, redirige directamente a /interview</w:t>
      </w:r>
    </w:p>
    <w:p>
      <w:pPr>
        <w:pStyle w:val="para9"/>
        <w:numPr>
          <w:ilvl w:val="0"/>
          <w:numId w:val="5"/>
        </w:numPr>
        <w:ind w:left="720" w:hanging="360"/>
        <w:spacing w:before="60" w:after="60"/>
      </w:pPr>
      <w:r>
        <w:t>Renderizado de PatientRegisterScreen con formulario de dos secciones</w:t>
      </w:r>
    </w:p>
    <w:p>
      <w:pPr>
        <w:pStyle w:val="para9"/>
        <w:numPr>
          <w:ilvl w:val="0"/>
          <w:numId w:val="5"/>
        </w:numPr>
        <w:ind w:left="720" w:hanging="360"/>
        <w:spacing w:before="60" w:after="60"/>
      </w:pPr>
      <w:r>
        <w:t>Validación client-side (alias, fecha, género, motivo de consulta)</w:t>
      </w:r>
    </w:p>
    <w:p>
      <w:pPr>
        <w:pStyle w:val="para9"/>
        <w:numPr>
          <w:ilvl w:val="0"/>
          <w:numId w:val="5"/>
        </w:numPr>
        <w:ind w:left="720" w:hanging="360"/>
        <w:spacing w:before="60" w:after="60"/>
      </w:pPr>
      <w:r>
        <w:t>Generación de ID único: PAC-AAAAMMDD-xxxx</w:t>
      </w:r>
    </w:p>
    <w:p>
      <w:pPr>
        <w:pStyle w:val="para9"/>
        <w:numPr>
          <w:ilvl w:val="0"/>
          <w:numId w:val="5"/>
        </w:numPr>
        <w:ind w:left="720" w:hanging="360"/>
        <w:spacing w:before="60" w:after="60"/>
      </w:pPr>
      <w:r>
        <w:t>Persistencia en patientStore (Zustand + localStorage via persist middleware)</w:t>
      </w:r>
    </w:p>
    <w:p>
      <w:pPr>
        <w:pStyle w:val="para9"/>
        <w:numPr>
          <w:ilvl w:val="0"/>
          <w:numId w:val="5"/>
        </w:numPr>
        <w:ind w:left="720" w:hanging="360"/>
        <w:spacing w:before="60" w:after="60"/>
      </w:pPr>
      <w:r>
        <w:t>Persistencia de respaldo en IndexedDB (Dexie, tabla patientRecords)</w:t>
      </w:r>
    </w:p>
    <w:p>
      <w:pPr>
        <w:pStyle w:val="para9"/>
        <w:numPr>
          <w:ilvl w:val="0"/>
          <w:numId w:val="5"/>
        </w:numPr>
        <w:ind w:left="720" w:hanging="360"/>
        <w:spacing w:before="60" w:after="60"/>
      </w:pPr>
      <w:r>
        <w:t>Creación automática de PatientFolder vacía en el módulo terapeuta</w:t>
      </w:r>
    </w:p>
    <w:p>
      <w:pPr>
        <w:pStyle w:val="para9"/>
        <w:numPr>
          <w:ilvl w:val="0"/>
          <w:numId w:val="5"/>
        </w:numPr>
        <w:ind w:left="720" w:hanging="360"/>
        <w:spacing w:before="60" w:after="60"/>
      </w:pPr>
      <w:r>
        <w:t>Navegación a /interview</w:t>
      </w:r>
    </w:p>
    <w:p>
      <w:pPr>
        <w:spacing w:before="60" w:after="60"/>
      </w:pPr>
      <w:r/>
    </w:p>
    <w:p>
      <w:pPr>
        <w:pStyle w:val="para3"/>
        <w:spacing w:before="280" w:after="140"/>
      </w:pPr>
      <w:r>
        <w:rPr>
          <w:b/>
          <w:bCs/>
          <w:color w:val="2d5fa0"/>
        </w:rPr>
        <w:t>2.3 Estructura de Datos</w:t>
      </w:r>
      <w:r/>
    </w:p>
    <w:p>
      <w:pPr>
        <w:pStyle w:val="para4"/>
        <w:spacing w:before="200" w:after="100"/>
      </w:pPr>
      <w:r>
        <w:rPr>
          <w:b/>
          <w:bCs/>
          <w:color w:val="1a1a2e"/>
          <w:sz w:val="22"/>
          <w:szCs w:val="22"/>
        </w:rPr>
        <w:t>PatientRegistration</w:t>
      </w:r>
      <w:r/>
    </w:p>
    <w:p>
      <w:pPr>
        <w:spacing w:before="80" w:after="120"/>
        <w:jc w:val="both"/>
      </w:pPr>
      <w:r>
        <w:rPr>
          <w:color w:val="1a1a1a"/>
        </w:rPr>
        <w:t>Interfaz principal del paciente. Contiene campos de identificación, datos personales obligatorios, contexto clínico opcional y estado del proceso.</w:t>
      </w:r>
      <w:r/>
    </w:p>
    <w:p>
      <w:pPr>
        <w:spacing w:before="60" w:after="60"/>
      </w:pPr>
      <w:r/>
    </w:p>
    <w:tbl>
      <w:tblPr>
        <w:name w:val="Tabla3"/>
        <w:tabOrder w:val="0"/>
        <w:jc w:val="left"/>
        <w:tblInd w:w="0" w:type="dxa"/>
        <w:tblW w:w="9026" w:type="dxa"/>
      </w:tblPr>
      <w:tblGrid>
        <w:gridCol w:w="3000"/>
        <w:gridCol w:w="6026"/>
      </w:tblGrid>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Campo</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Descripción</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patientId</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ID único: PAC-AAAAMMDD-xxxx</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alias</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Nombre libre (sin opciones predefinidas)</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birthDate / age</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Fecha de nacimiento + edad calculada automáticamente</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gender</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Campo libre — sin opciones predefinidas para respetar la identidad</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initialContact</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Texto libre del motivo de consulta (mín. 10 chars)</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referralSource</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Fuente de derivación (enum: 5 opciones)</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previousTreatment</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Boolean + notas libres</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currentMedication</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Boolean + notas libres</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affectedAreas</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Array de LifeArea (8 opciones: trabajo, pareja, familia...)</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interviewCompleted</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Flag que marca el fin de la entrevista inicial</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interviewReportSentAt</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Timestamp cuando el reporte llega al módulo terapeuta</w:t>
            </w:r>
          </w:p>
        </w:tc>
      </w:tr>
    </w:tbl>
    <w:p>
      <w:pPr>
        <w:spacing w:before="60" w:after="60"/>
      </w:pPr>
      <w:r/>
    </w:p>
    <w:p>
      <w:pPr>
        <w:pStyle w:val="para4"/>
        <w:spacing w:before="200" w:after="100"/>
      </w:pPr>
      <w:r>
        <w:rPr>
          <w:b/>
          <w:bCs/>
          <w:color w:val="1a1a2e"/>
          <w:sz w:val="22"/>
          <w:szCs w:val="22"/>
        </w:rPr>
        <w:t>PatientFolder</w:t>
      </w:r>
      <w:r/>
    </w:p>
    <w:p>
      <w:pPr>
        <w:spacing w:before="80" w:after="120"/>
        <w:jc w:val="both"/>
      </w:pPr>
      <w:r>
        <w:rPr>
          <w:color w:val="1a1a1a"/>
        </w:rPr>
        <w:t>Estructura creada automáticamente al registrar cada paciente. Es la "carpeta del caso" que el terapeuta ve en su módulo. Contiene el reporte de entrevista (InterviewReport) y notas libres editables.</w:t>
      </w:r>
      <w:r/>
    </w:p>
    <w:p>
      <w:pPr>
        <w:spacing w:before="60" w:after="60"/>
      </w:pPr>
      <w:r/>
    </w:p>
    <w:p>
      <w:pPr>
        <w:pStyle w:val="para4"/>
        <w:spacing w:before="200" w:after="100"/>
      </w:pPr>
      <w:r>
        <w:rPr>
          <w:b/>
          <w:bCs/>
          <w:color w:val="1a1a2e"/>
          <w:sz w:val="22"/>
          <w:szCs w:val="22"/>
        </w:rPr>
        <w:t>InterviewReport</w:t>
      </w:r>
      <w:r/>
    </w:p>
    <w:p>
      <w:pPr>
        <w:spacing w:before="80" w:after="120"/>
        <w:jc w:val="both"/>
      </w:pPr>
      <w:r>
        <w:rPr>
          <w:color w:val="1a1a1a"/>
        </w:rPr>
        <w:t>Estructura generada al finalizar la entrevista inicial. Tiene dos vistas: patientView (lenguaje accesible para compartir con el paciente) y therapistView (técnica, con formulación de caso según Persons, inventarios BDI-II/GAD-7, alertas clínicas y sugerencias para la sesión 2).</w:t>
      </w:r>
      <w:r/>
    </w:p>
    <w:p>
      <w:pPr>
        <w:spacing w:before="60" w:after="60"/>
      </w:pPr>
      <w:r/>
    </w:p>
    <w:p>
      <w:pPr>
        <w:pStyle w:val="para3"/>
        <w:spacing w:before="280" w:after="140"/>
      </w:pPr>
      <w:r>
        <w:rPr>
          <w:b/>
          <w:bCs/>
          <w:color w:val="2d5fa0"/>
        </w:rPr>
        <w:t>2.4 Persistencia y Almacenamiento</w:t>
      </w:r>
      <w:r/>
    </w:p>
    <w:p>
      <w:pPr>
        <w:spacing w:before="80" w:after="120"/>
        <w:jc w:val="both"/>
      </w:pPr>
      <w:r>
        <w:rPr>
          <w:color w:val="1a1a1a"/>
        </w:rPr>
        <w:t>El sistema usa una estrategia de doble persistencia para garantizar que los datos no se pierdan:</w:t>
      </w:r>
      <w:r/>
    </w:p>
    <w:p>
      <w:pPr>
        <w:pStyle w:val="para9"/>
        <w:numPr>
          <w:ilvl w:val="0"/>
          <w:numId w:val="6"/>
        </w:numPr>
        <w:ind w:left="720" w:hanging="360"/>
        <w:spacing w:before="60" w:after="60"/>
      </w:pPr>
      <w:r>
        <w:t>Capa 1 — Zustand + persist (localStorage): acceso síncrono en runtime, compatible con SSR. Clave: homeflow-patients-v1.</w:t>
      </w:r>
    </w:p>
    <w:p>
      <w:pPr>
        <w:pStyle w:val="para9"/>
        <w:numPr>
          <w:ilvl w:val="0"/>
          <w:numId w:val="6"/>
        </w:numPr>
        <w:ind w:left="720" w:hanging="360"/>
        <w:spacing w:before="60" w:after="60"/>
      </w:pPr>
      <w:r>
        <w:t>Capa 2 — IndexedDB via Dexie (patientRecords): respaldo estructurado, permite queries complejas y es la fuente de verdad para operaciones de lectura del módulo terapeuta.</w:t>
      </w:r>
    </w:p>
    <w:p>
      <w:pPr>
        <w:spacing w:before="80" w:after="120"/>
        <w:jc w:val="both"/>
      </w:pPr>
      <w:r>
        <w:rPr>
          <w:i/>
          <w:iCs/>
          <w:color w:val="1a1a1a"/>
        </w:rPr>
        <w:t>El middleware partialize de Zustand expone solo activePatient y patientFolders al localStorage, evitando persistir funciones y reduciendo el tamaño del payload.</w:t>
      </w:r>
      <w:r/>
    </w:p>
    <w:p>
      <w:pPr>
        <w:spacing w:before="60" w:after="60"/>
      </w:pPr>
      <w:r/>
    </w:p>
    <w:p>
      <w:pPr>
        <w:pStyle w:val="para3"/>
        <w:spacing w:before="280" w:after="140"/>
      </w:pPr>
      <w:r>
        <w:rPr>
          <w:b/>
          <w:bCs/>
          <w:color w:val="2d5fa0"/>
        </w:rPr>
        <w:t>2.5 Generación de ID</w:t>
      </w:r>
      <w:r/>
    </w:p>
    <w:p>
      <w:pPr>
        <w:spacing w:before="80" w:after="120"/>
        <w:jc w:val="both"/>
      </w:pPr>
      <w:r>
        <w:rPr>
          <w:color w:val="1a1a1a"/>
        </w:rPr>
        <w:t>El ID del paciente sigue el formato PAC-AAAAMMDD-xxxx, donde el sufijo es un string aleatorio de 4 caracteres base-36. Este formato permite:</w:t>
      </w:r>
      <w:r/>
    </w:p>
    <w:p>
      <w:pPr>
        <w:pStyle w:val="para9"/>
        <w:numPr>
          <w:ilvl w:val="0"/>
          <w:numId w:val="6"/>
        </w:numPr>
        <w:ind w:left="720" w:hanging="360"/>
        <w:spacing w:before="60" w:after="60"/>
      </w:pPr>
      <w:r>
        <w:t>Identificar visualmente la fecha de registro desde el ID</w:t>
      </w:r>
    </w:p>
    <w:p>
      <w:pPr>
        <w:pStyle w:val="para9"/>
        <w:numPr>
          <w:ilvl w:val="0"/>
          <w:numId w:val="6"/>
        </w:numPr>
        <w:ind w:left="720" w:hanging="360"/>
        <w:spacing w:before="60" w:after="60"/>
      </w:pPr>
      <w:r>
        <w:t>Generar IDs únicos sin necesidad de un servidor central</w:t>
      </w:r>
    </w:p>
    <w:p>
      <w:pPr>
        <w:pStyle w:val="para9"/>
        <w:numPr>
          <w:ilvl w:val="0"/>
          <w:numId w:val="6"/>
        </w:numPr>
        <w:ind w:left="720" w:hanging="360"/>
        <w:spacing w:before="60" w:after="60"/>
      </w:pPr>
      <w:r>
        <w:t>Mantener la privacidad (no contiene datos del paciente)</w:t>
      </w:r>
    </w:p>
    <w:p>
      <w:pPr>
        <w:ind w:left="720"/>
        <w:spacing w:before="100" w:after="100"/>
        <w:pBdr>
          <w:top w:val="nil" w:sz="0" w:space="3" w:color="000000" tmln="20, 20, 20, 0, 60"/>
          <w:left w:val="single" w:sz="6" w:space="10" w:color="2D5FA0" tmln="15, 20, 20, 0, 200"/>
          <w:bottom w:val="nil" w:sz="0" w:space="3" w:color="000000" tmln="20, 20, 20, 0, 60"/>
          <w:right w:val="nil" w:sz="0" w:space="3" w:color="000000" tmln="20, 20, 20, 0, 60"/>
          <w:between w:val="nil" w:sz="0" w:space="0" w:color="000000" tmln="20, 20, 20, 0, 0"/>
        </w:pBdr>
        <w:shd w:val="none"/>
      </w:pPr>
      <w:r>
        <w:rPr>
          <w:rFonts w:ascii="Courier New" w:hAnsi="Courier New" w:eastAsia="Courier New" w:cs="Courier New"/>
          <w:color w:val="2d5fa0"/>
          <w:sz w:val="18"/>
          <w:szCs w:val="18"/>
        </w:rPr>
        <w:t>PAC-20260316-a1b2   →   Paciente registrado el 16 de marzo de 2026</w:t>
      </w:r>
      <w:r/>
    </w:p>
    <w:p>
      <w:pPr>
        <w:spacing w:before="60" w:after="60"/>
      </w:pPr>
      <w:r/>
    </w:p>
    <w:p>
      <w:pPr>
        <w:pStyle w:val="para3"/>
        <w:spacing w:before="280" w:after="140"/>
      </w:pPr>
      <w:r>
        <w:rPr>
          <w:b/>
          <w:bCs/>
          <w:color w:val="2d5fa0"/>
        </w:rPr>
        <w:t>2.6 Validaciones Implementadas</w:t>
      </w:r>
      <w:r/>
    </w:p>
    <w:tbl>
      <w:tblPr>
        <w:name w:val="Tabla4"/>
        <w:tabOrder w:val="0"/>
        <w:jc w:val="left"/>
        <w:tblInd w:w="0" w:type="dxa"/>
        <w:tblW w:w="9026" w:type="dxa"/>
      </w:tblPr>
      <w:tblGrid>
        <w:gridCol w:w="3000"/>
        <w:gridCol w:w="6026"/>
      </w:tblGrid>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Campo</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Regla de Validación</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alias</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Obligatorio, no vacío</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birthDate</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Obligatorio, anterior a hoy, edad entre 12 y 110 años</w:t>
            </w:r>
          </w:p>
        </w:tc>
      </w:tr>
      <w:tr>
        <w:trPr>
          <w:tblHeader w:val="0"/>
          <w:cantSplit w:val="0"/>
          <w:trHeight w:val="0" w:hRule="auto"/>
        </w:trPr>
        <w:tc>
          <w:tcPr>
            <w:tcW w:w="3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gender</w:t>
            </w:r>
          </w:p>
        </w:tc>
        <w:tc>
          <w:tcPr>
            <w:tcW w:w="6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Obligatorio, no vacío</w:t>
            </w:r>
          </w:p>
        </w:tc>
      </w:tr>
      <w:tr>
        <w:trPr>
          <w:tblHeader w:val="0"/>
          <w:cantSplit w:val="0"/>
          <w:trHeight w:val="0" w:hRule="auto"/>
        </w:trPr>
        <w:tc>
          <w:tcPr>
            <w:tcW w:w="3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initialContact</w:t>
            </w:r>
          </w:p>
        </w:tc>
        <w:tc>
          <w:tcPr>
            <w:tcW w:w="6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Obligatorio, mínimo 10 caracteres</w:t>
            </w:r>
          </w:p>
        </w:tc>
      </w:tr>
    </w:tbl>
    <w:p>
      <w:pPr>
        <w:spacing w:before="80" w:after="120"/>
        <w:jc w:val="both"/>
      </w:pPr>
      <w:r>
        <w:rPr>
          <w:color w:val="1a1a1a"/>
        </w:rPr>
        <w:t>Los errores se muestran inline debajo de cada campo con texto en rojo (text-red-400). El botón de submit queda deshabilitado durante el guardado para prevenir doble envío.</w:t>
      </w:r>
      <w:r/>
    </w:p>
    <w:p>
      <w:pPr>
        <w:pStyle w:val="para2"/>
        <w:spacing w:before="360" w:after="180"/>
      </w:pPr>
      <w:r>
        <w:br w:type="page"/>
      </w:r>
      <w:r>
        <w:rPr>
          <w:b/>
          <w:bCs/>
          <w:color w:val="1b2b4b"/>
        </w:rPr>
        <w:t>3. Integración con el Módulo Interview</w:t>
      </w:r>
      <w:r/>
    </w:p>
    <w:p>
      <w:pPr>
        <w:pStyle w:val="para3"/>
        <w:spacing w:before="280" w:after="140"/>
      </w:pPr>
      <w:r>
        <w:rPr>
          <w:b/>
          <w:bCs/>
          <w:color w:val="2d5fa0"/>
        </w:rPr>
        <w:t>3.1 Flujo de Primera Sesión</w:t>
      </w:r>
      <w:r/>
    </w:p>
    <w:p>
      <w:pPr>
        <w:spacing w:before="80" w:after="120"/>
        <w:jc w:val="both"/>
      </w:pPr>
      <w:r>
        <w:rPr>
          <w:color w:val="1a1a1a"/>
        </w:rPr>
        <w:t>El módulo de registro es el punto de entrada al flujo de primera sesión. Una vez completado, el paciente pasa directamente al módulo Interview (/interview), donde se realiza la entrevista clínica inicial.</w:t>
      </w:r>
      <w:r/>
    </w:p>
    <w:p>
      <w:pPr>
        <w:spacing w:before="80" w:after="120"/>
        <w:jc w:val="both"/>
      </w:pPr>
      <w:r>
        <w:rPr>
          <w:color w:val="1a1a1a"/>
        </w:rPr>
        <w:t>El InterviewScreen comprueba si existe un activePatient en el patientStore. Si no existe, redirige a la pantalla de registro. Si existe, carga el contexto del paciente y comienza la entrevista.</w:t>
      </w:r>
      <w:r/>
    </w:p>
    <w:p>
      <w:pPr>
        <w:spacing w:before="60" w:after="60"/>
      </w:pPr>
      <w:r/>
    </w:p>
    <w:p>
      <w:pPr>
        <w:pStyle w:val="para3"/>
        <w:spacing w:before="280" w:after="140"/>
      </w:pPr>
      <w:r>
        <w:rPr>
          <w:b/>
          <w:bCs/>
          <w:color w:val="2d5fa0"/>
        </w:rPr>
        <w:t>3.2 Transferencia al Módulo Terapeuta</w:t>
      </w:r>
      <w:r/>
    </w:p>
    <w:p>
      <w:pPr>
        <w:spacing w:before="80" w:after="120"/>
        <w:jc w:val="both"/>
      </w:pPr>
      <w:r>
        <w:rPr>
          <w:color w:val="1a1a1a"/>
        </w:rPr>
        <w:t>Al finalizar la entrevista, el InterviewScreen genera un InterviewReport completo y lo transfiere a la carpeta del paciente mediante sendReportToFolder(patientId, report). Este reporte incluye:</w:t>
      </w:r>
      <w:r/>
    </w:p>
    <w:p>
      <w:pPr>
        <w:pStyle w:val="para9"/>
        <w:numPr>
          <w:ilvl w:val="0"/>
          <w:numId w:val="6"/>
        </w:numPr>
        <w:ind w:left="720" w:hanging="360"/>
        <w:spacing w:before="60" w:after="60"/>
      </w:pPr>
      <w:r>
        <w:t>Vista paciente: síntesis empática, lista de problemas, patrón conectivo, precipitante, fortalezas, próximos pasos.</w:t>
      </w:r>
    </w:p>
    <w:p>
      <w:pPr>
        <w:pStyle w:val="para9"/>
        <w:numPr>
          <w:ilvl w:val="0"/>
          <w:numId w:val="6"/>
        </w:numPr>
        <w:ind w:left="720" w:hanging="360"/>
        <w:spacing w:before="60" w:after="60"/>
      </w:pPr>
      <w:r>
        <w:t>Vista terapeuta: formulación de caso (Persons), análisis funcional, creencias nucleares hipotetizadas, evidencia literal del paciente, alertas clínicas, scores BDI-II/GAD-7, métricas de rapport.</w:t>
      </w:r>
    </w:p>
    <w:p>
      <w:pPr>
        <w:pStyle w:val="para9"/>
        <w:numPr>
          <w:ilvl w:val="0"/>
          <w:numId w:val="6"/>
        </w:numPr>
        <w:ind w:left="720" w:hanging="360"/>
        <w:spacing w:before="60" w:after="60"/>
      </w:pPr>
      <w:r>
        <w:t>Transcripción completa de la conversación.</w:t>
      </w:r>
    </w:p>
    <w:p>
      <w:pPr>
        <w:spacing w:before="60" w:after="60"/>
      </w:pPr>
      <w:r/>
    </w:p>
    <w:p>
      <w:pPr>
        <w:pStyle w:val="para3"/>
        <w:spacing w:before="280" w:after="140"/>
      </w:pPr>
      <w:r>
        <w:rPr>
          <w:b/>
          <w:bCs/>
          <w:color w:val="2d5fa0"/>
        </w:rPr>
        <w:t>3.3 Módulo Terapeuta — PatientsTab</w:t>
      </w:r>
      <w:r/>
    </w:p>
    <w:p>
      <w:pPr>
        <w:spacing w:before="80" w:after="120"/>
        <w:jc w:val="both"/>
      </w:pPr>
      <w:r>
        <w:rPr>
          <w:color w:val="1a1a1a"/>
        </w:rPr>
        <w:t>El módulo terapeuta (TherapistScreen) incluye la pestaña PatientsTab, que muestra la lista de todos los pacientes registrados con acceso a sus carpetas individuales. Desde aquí el terapeuta puede:</w:t>
      </w:r>
      <w:r/>
    </w:p>
    <w:p>
      <w:pPr>
        <w:pStyle w:val="para9"/>
        <w:numPr>
          <w:ilvl w:val="0"/>
          <w:numId w:val="6"/>
        </w:numPr>
        <w:ind w:left="720" w:hanging="360"/>
        <w:spacing w:before="60" w:after="60"/>
      </w:pPr>
      <w:r>
        <w:t>Ver datos de registro del paciente (alias, edad, género, fecha de ingreso)</w:t>
      </w:r>
    </w:p>
    <w:p>
      <w:pPr>
        <w:pStyle w:val="para9"/>
        <w:numPr>
          <w:ilvl w:val="0"/>
          <w:numId w:val="6"/>
        </w:numPr>
        <w:ind w:left="720" w:hanging="360"/>
        <w:spacing w:before="60" w:after="60"/>
      </w:pPr>
      <w:r>
        <w:t>Acceder al reporte de entrevista (patientView + therapistView)</w:t>
      </w:r>
    </w:p>
    <w:p>
      <w:pPr>
        <w:pStyle w:val="para9"/>
        <w:numPr>
          <w:ilvl w:val="0"/>
          <w:numId w:val="6"/>
        </w:numPr>
        <w:ind w:left="720" w:hanging="360"/>
        <w:spacing w:before="60" w:after="60"/>
      </w:pPr>
      <w:r>
        <w:t>Editar notas clínicas libres (therapistNotes)</w:t>
      </w:r>
    </w:p>
    <w:p>
      <w:pPr>
        <w:pStyle w:val="para9"/>
        <w:numPr>
          <w:ilvl w:val="0"/>
          <w:numId w:val="6"/>
        </w:numPr>
        <w:ind w:left="720" w:hanging="360"/>
        <w:spacing w:before="60" w:after="60"/>
      </w:pPr>
      <w:r>
        <w:t>Ver el estado de la entrevista (completada / pendiente)</w:t>
      </w:r>
    </w:p>
    <w:p>
      <w:pPr>
        <w:pStyle w:val="para2"/>
        <w:spacing w:before="360" w:after="180"/>
      </w:pPr>
      <w:r>
        <w:br w:type="page"/>
      </w:r>
      <w:r>
        <w:rPr>
          <w:b/>
          <w:bCs/>
          <w:color w:val="1b2b4b"/>
        </w:rPr>
        <w:t>4. Arquitectura de la Base de Conocimiento (KB)</w:t>
      </w:r>
      <w:r/>
    </w:p>
    <w:p>
      <w:pPr>
        <w:pStyle w:val="para3"/>
        <w:spacing w:before="280" w:after="140"/>
      </w:pPr>
      <w:r>
        <w:rPr>
          <w:b/>
          <w:bCs/>
          <w:color w:val="2d5fa0"/>
        </w:rPr>
        <w:t>4.1 Visión General</w:t>
      </w:r>
      <w:r/>
    </w:p>
    <w:p>
      <w:pPr>
        <w:spacing w:before="80" w:after="120"/>
        <w:jc w:val="both"/>
      </w:pPr>
      <w:r>
        <w:rPr>
          <w:color w:val="1a1a1a"/>
        </w:rPr>
        <w:t>La Knowledge Base está organizada en dos capas complementarias que coexisten y se referencian mutuamente:</w:t>
      </w:r>
      <w:r/>
    </w:p>
    <w:p>
      <w:pPr>
        <w:spacing w:before="60" w:after="60"/>
      </w:pPr>
      <w:r/>
    </w:p>
    <w:tbl>
      <w:tblPr>
        <w:name w:val="Tabla5"/>
        <w:tabOrder w:val="0"/>
        <w:jc w:val="left"/>
        <w:tblInd w:w="0" w:type="dxa"/>
        <w:tblW w:w="9026" w:type="dxa"/>
      </w:tblPr>
      <w:tblGrid>
        <w:gridCol w:w="2000"/>
        <w:gridCol w:w="7026"/>
      </w:tblGrid>
      <w:tr>
        <w:trPr>
          <w:tblHeader w:val="0"/>
          <w:cantSplit w:val="0"/>
          <w:trHeight w:val="0" w:hRule="auto"/>
        </w:trPr>
        <w:tc>
          <w:tcPr>
            <w:tcW w:w="2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Capa</w:t>
            </w:r>
          </w:p>
        </w:tc>
        <w:tc>
          <w:tcPr>
            <w:tcW w:w="7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Descripción</w:t>
            </w:r>
          </w:p>
        </w:tc>
      </w:tr>
      <w:tr>
        <w:trPr>
          <w:tblHeader w:val="0"/>
          <w:cantSplit w:val="0"/>
          <w:trHeight w:val="0" w:hRule="auto"/>
        </w:trPr>
        <w:tc>
          <w:tcPr>
            <w:tcW w:w="2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v2 Legacy (manifest + areas)</w:t>
            </w:r>
          </w:p>
        </w:tc>
        <w:tc>
          <w:tcPr>
            <w:tcW w:w="7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Carga lazy por área. 13 áreas estándar por técnica. Validación Zod. Store Zustand bidimensional.</w:t>
            </w:r>
          </w:p>
        </w:tc>
      </w:tr>
      <w:tr>
        <w:trPr>
          <w:tblHeader w:val="0"/>
          <w:cantSplit w:val="0"/>
          <w:trHeight w:val="0" w:hRule="auto"/>
        </w:trPr>
        <w:tc>
          <w:tcPr>
            <w:tcW w:w="2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v3 Profile + Procedures</w:t>
            </w:r>
          </w:p>
        </w:tc>
        <w:tc>
          <w:tcPr>
            <w:tcW w:w="7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Profile clínico + procedures estructurados por técnica. Resolver único. Bridge con el motor de intervenciones.</w:t>
            </w:r>
          </w:p>
        </w:tc>
      </w:tr>
      <w:tr>
        <w:trPr>
          <w:tblHeader w:val="0"/>
          <w:cantSplit w:val="0"/>
          <w:trHeight w:val="0" w:hRule="auto"/>
        </w:trPr>
        <w:tc>
          <w:tcPr>
            <w:tcW w:w="2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Shared</w:t>
            </w:r>
          </w:p>
        </w:tc>
        <w:tc>
          <w:tcPr>
            <w:tcW w:w="7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Inventarios generales (BDI-II, BAI), protocolo de crisis, habilidades de entrevista. Transversal a todas las técnicas.</w:t>
            </w:r>
          </w:p>
        </w:tc>
      </w:tr>
    </w:tbl>
    <w:p>
      <w:pPr>
        <w:spacing w:before="60" w:after="60"/>
      </w:pPr>
      <w:r/>
    </w:p>
    <w:p>
      <w:pPr>
        <w:pStyle w:val="para3"/>
        <w:spacing w:before="280" w:after="140"/>
      </w:pPr>
      <w:r>
        <w:rPr>
          <w:b/>
          <w:bCs/>
          <w:color w:val="2d5fa0"/>
        </w:rPr>
        <w:t>4.2 Técnicas Implementadas</w:t>
      </w:r>
      <w:r/>
    </w:p>
    <w:tbl>
      <w:tblPr>
        <w:name w:val="Tabla6"/>
        <w:tabOrder w:val="0"/>
        <w:jc w:val="left"/>
        <w:tblInd w:w="0" w:type="dxa"/>
        <w:tblW w:w="9026" w:type="dxa"/>
      </w:tblPr>
      <w:tblGrid>
        <w:gridCol w:w="3500"/>
        <w:gridCol w:w="5526"/>
      </w:tblGrid>
      <w:tr>
        <w:trPr>
          <w:tblHeader w:val="0"/>
          <w:cantSplit w:val="0"/>
          <w:trHeight w:val="0" w:hRule="auto"/>
        </w:trPr>
        <w:tc>
          <w:tcPr>
            <w:tcW w:w="3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Técnica</w:t>
            </w:r>
          </w:p>
        </w:tc>
        <w:tc>
          <w:tcPr>
            <w:tcW w:w="5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Cobertura (v2 + v3)</w:t>
            </w:r>
          </w:p>
        </w:tc>
      </w:tr>
      <w:tr>
        <w:trPr>
          <w:tblHeader w:val="0"/>
          <w:cantSplit w:val="0"/>
          <w:trHeight w:val="0" w:hRule="auto"/>
        </w:trPr>
        <w:tc>
          <w:tcPr>
            <w:tcW w:w="3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Activación Conductual (AC)</w:t>
            </w:r>
          </w:p>
        </w:tc>
        <w:tc>
          <w:tcPr>
            <w:tcW w:w="5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13 áreas v2 + profile + 4 procedures</w:t>
            </w:r>
          </w:p>
        </w:tc>
      </w:tr>
      <w:tr>
        <w:trPr>
          <w:tblHeader w:val="0"/>
          <w:cantSplit w:val="0"/>
          <w:trHeight w:val="0" w:hRule="auto"/>
        </w:trPr>
        <w:tc>
          <w:tcPr>
            <w:tcW w:w="3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Reestructuración Cognitiva (RC)</w:t>
            </w:r>
          </w:p>
        </w:tc>
        <w:tc>
          <w:tcPr>
            <w:tcW w:w="5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13 áreas v2 + profile + 5 procedures</w:t>
            </w:r>
          </w:p>
        </w:tc>
      </w:tr>
      <w:tr>
        <w:trPr>
          <w:tblHeader w:val="0"/>
          <w:cantSplit w:val="0"/>
          <w:trHeight w:val="0" w:hRule="auto"/>
        </w:trPr>
        <w:tc>
          <w:tcPr>
            <w:tcW w:w="3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Desensibilización Sistemática (DS)</w:t>
            </w:r>
          </w:p>
        </w:tc>
        <w:tc>
          <w:tcPr>
            <w:tcW w:w="5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12 áreas v2 + profile + 4 procedures</w:t>
            </w:r>
          </w:p>
        </w:tc>
      </w:tr>
      <w:tr>
        <w:trPr>
          <w:tblHeader w:val="0"/>
          <w:cantSplit w:val="0"/>
          <w:trHeight w:val="0" w:hRule="auto"/>
        </w:trPr>
        <w:tc>
          <w:tcPr>
            <w:tcW w:w="3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Exposición</w:t>
            </w:r>
          </w:p>
        </w:tc>
        <w:tc>
          <w:tcPr>
            <w:tcW w:w="5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12 áreas v2 + profile + 4 procedures</w:t>
            </w:r>
          </w:p>
        </w:tc>
      </w:tr>
      <w:tr>
        <w:trPr>
          <w:tblHeader w:val="0"/>
          <w:cantSplit w:val="0"/>
          <w:trHeight w:val="0" w:hRule="auto"/>
        </w:trPr>
        <w:tc>
          <w:tcPr>
            <w:tcW w:w="3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Modificación de Conducta (MC)</w:t>
            </w:r>
          </w:p>
        </w:tc>
        <w:tc>
          <w:tcPr>
            <w:tcW w:w="5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12 áreas v2 + profile + 4 procedures</w:t>
            </w:r>
          </w:p>
        </w:tc>
      </w:tr>
      <w:tr>
        <w:trPr>
          <w:tblHeader w:val="0"/>
          <w:cantSplit w:val="0"/>
          <w:trHeight w:val="0" w:hRule="auto"/>
        </w:trPr>
        <w:tc>
          <w:tcPr>
            <w:tcW w:w="3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Terapia Dialéctico Conductual (DC)</w:t>
            </w:r>
          </w:p>
        </w:tc>
        <w:tc>
          <w:tcPr>
            <w:tcW w:w="5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11 áreas v2 + profile + 4 procedures</w:t>
            </w:r>
          </w:p>
        </w:tc>
      </w:tr>
      <w:tr>
        <w:trPr>
          <w:tblHeader w:val="0"/>
          <w:cantSplit w:val="0"/>
          <w:trHeight w:val="0" w:hRule="auto"/>
        </w:trPr>
        <w:tc>
          <w:tcPr>
            <w:tcW w:w="3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TREC</w:t>
            </w:r>
          </w:p>
        </w:tc>
        <w:tc>
          <w:tcPr>
            <w:tcW w:w="5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10 áreas v2 + profile + 4 procedures</w:t>
            </w:r>
          </w:p>
        </w:tc>
      </w:tr>
      <w:tr>
        <w:trPr>
          <w:tblHeader w:val="0"/>
          <w:cantSplit w:val="0"/>
          <w:trHeight w:val="0" w:hRule="auto"/>
        </w:trPr>
        <w:tc>
          <w:tcPr>
            <w:tcW w:w="3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ACT</w:t>
            </w:r>
          </w:p>
        </w:tc>
        <w:tc>
          <w:tcPr>
            <w:tcW w:w="5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Profile + 4 procedures + datos especializados</w:t>
            </w:r>
          </w:p>
        </w:tc>
      </w:tr>
      <w:tr>
        <w:trPr>
          <w:tblHeader w:val="0"/>
          <w:cantSplit w:val="0"/>
          <w:trHeight w:val="0" w:hRule="auto"/>
        </w:trPr>
        <w:tc>
          <w:tcPr>
            <w:tcW w:w="3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Mindfulness</w:t>
            </w:r>
          </w:p>
        </w:tc>
        <w:tc>
          <w:tcPr>
            <w:tcW w:w="5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Profile + 4 procedures + datos especializados</w:t>
            </w:r>
          </w:p>
        </w:tc>
      </w:tr>
      <w:tr>
        <w:trPr>
          <w:tblHeader w:val="0"/>
          <w:cantSplit w:val="0"/>
          <w:trHeight w:val="0" w:hRule="auto"/>
        </w:trPr>
        <w:tc>
          <w:tcPr>
            <w:tcW w:w="3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Transversal Regulación</w:t>
            </w:r>
          </w:p>
        </w:tc>
        <w:tc>
          <w:tcPr>
            <w:tcW w:w="5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Profile + 4 procedures (módulo transversal)</w:t>
            </w:r>
          </w:p>
        </w:tc>
      </w:tr>
    </w:tbl>
    <w:p>
      <w:pPr>
        <w:spacing w:before="60" w:after="60"/>
      </w:pPr>
      <w:r/>
    </w:p>
    <w:p>
      <w:pPr>
        <w:pStyle w:val="para3"/>
        <w:spacing w:before="280" w:after="140"/>
      </w:pPr>
      <w:r>
        <w:rPr>
          <w:b/>
          <w:bCs/>
          <w:color w:val="2d5fa0"/>
        </w:rPr>
        <w:t>4.3 Resultados de Auditoría</w:t>
      </w:r>
      <w:r/>
    </w:p>
    <w:p>
      <w:pPr>
        <w:spacing w:before="80" w:after="120"/>
        <w:jc w:val="both"/>
      </w:pPr>
      <w:r>
        <w:rPr>
          <w:color w:val="1a1a1a"/>
        </w:rPr>
        <w:t>La última auditoría completa (kb:audit) muestra el siguiente estado:</w:t>
      </w:r>
      <w:r/>
    </w:p>
    <w:tbl>
      <w:tblPr>
        <w:name w:val="Tabla7"/>
        <w:tabOrder w:val="0"/>
        <w:jc w:val="left"/>
        <w:tblInd w:w="0" w:type="dxa"/>
        <w:tblW w:w="9026" w:type="dxa"/>
      </w:tblPr>
      <w:tblGrid>
        <w:gridCol w:w="4000"/>
        <w:gridCol w:w="5026"/>
      </w:tblGrid>
      <w:tr>
        <w:trPr>
          <w:tblHeader w:val="0"/>
          <w:cantSplit w:val="0"/>
          <w:trHeight w:val="0" w:hRule="auto"/>
        </w:trPr>
        <w:tc>
          <w:tcPr>
            <w:tcW w:w="4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Script de validación</w:t>
            </w:r>
          </w:p>
        </w:tc>
        <w:tc>
          <w:tcPr>
            <w:tcW w:w="5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Resultado</w:t>
            </w:r>
          </w:p>
        </w:tc>
      </w:tr>
      <w:tr>
        <w:trPr>
          <w:tblHeader w:val="0"/>
          <w:cantSplit w:val="0"/>
          <w:trHeight w:val="0" w:hRule="auto"/>
        </w:trPr>
        <w:tc>
          <w:tcPr>
            <w:tcW w:w="4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validate-knowledge-all.ts (v2 legacy + shared)</w:t>
            </w:r>
          </w:p>
        </w:tc>
        <w:tc>
          <w:tcPr>
            <w:tcW w:w="5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69 / 69 archivos OK</w:t>
            </w:r>
          </w:p>
        </w:tc>
      </w:tr>
      <w:tr>
        <w:trPr>
          <w:tblHeader w:val="0"/>
          <w:cantSplit w:val="0"/>
          <w:trHeight w:val="0" w:hRule="auto"/>
        </w:trPr>
        <w:tc>
          <w:tcPr>
            <w:tcW w:w="4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validate-v3-all.ts (paquetes v3)</w:t>
            </w:r>
          </w:p>
        </w:tc>
        <w:tc>
          <w:tcPr>
            <w:tcW w:w="5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20 / 20 checks OK</w:t>
            </w:r>
          </w:p>
        </w:tc>
      </w:tr>
      <w:tr>
        <w:trPr>
          <w:tblHeader w:val="0"/>
          <w:cantSplit w:val="0"/>
          <w:trHeight w:val="0" w:hRule="auto"/>
        </w:trPr>
        <w:tc>
          <w:tcPr>
            <w:tcW w:w="4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validate-v3-resolver.ts (resolver)</w:t>
            </w:r>
          </w:p>
        </w:tc>
        <w:tc>
          <w:tcPr>
            <w:tcW w:w="5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9 / 9 técnicas OK</w:t>
            </w:r>
          </w:p>
        </w:tc>
      </w:tr>
      <w:tr>
        <w:trPr>
          <w:tblHeader w:val="0"/>
          <w:cantSplit w:val="0"/>
          <w:trHeight w:val="0" w:hRule="auto"/>
        </w:trPr>
        <w:tc>
          <w:tcPr>
            <w:tcW w:w="4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validate-tccengine-v3-bridge.ts (bridge)</w:t>
            </w:r>
          </w:p>
        </w:tc>
        <w:tc>
          <w:tcPr>
            <w:tcW w:w="5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25 / 25 mapeos OK</w:t>
            </w:r>
          </w:p>
        </w:tc>
      </w:tr>
    </w:tbl>
    <w:p>
      <w:pPr>
        <w:pStyle w:val="para2"/>
        <w:spacing w:before="360" w:after="180"/>
      </w:pPr>
      <w:r>
        <w:br w:type="page"/>
      </w:r>
      <w:r>
        <w:rPr>
          <w:b/>
          <w:bCs/>
          <w:color w:val="1b2b4b"/>
        </w:rPr>
        <w:t>5. Dispatcher Multi-Técnica (SessionFlowDispatcher)</w:t>
      </w:r>
      <w:r/>
    </w:p>
    <w:p>
      <w:pPr>
        <w:pStyle w:val="para3"/>
        <w:spacing w:before="280" w:after="140"/>
      </w:pPr>
      <w:r>
        <w:rPr>
          <w:b/>
          <w:bCs/>
          <w:color w:val="2d5fa0"/>
        </w:rPr>
        <w:t>5.1 Propósito</w:t>
      </w:r>
      <w:r/>
    </w:p>
    <w:p>
      <w:pPr>
        <w:spacing w:before="80" w:after="120"/>
        <w:jc w:val="both"/>
      </w:pPr>
      <w:r>
        <w:rPr>
          <w:color w:val="1a1a1a"/>
        </w:rPr>
        <w:t>El sessionFlowDispatcher.ts es la capa de orquestación que desacopla la UI de los flujos clínicos específicos de cada técnica (AC o RC). Permite que las pantallas de sesión (AssessmentScreen, PsychoeducationScreen, etc.) sean agnósticas a la técnica activa.</w:t>
      </w:r>
      <w:r/>
    </w:p>
    <w:p>
      <w:pPr>
        <w:spacing w:before="60" w:after="60"/>
      </w:pPr>
      <w:r/>
    </w:p>
    <w:p>
      <w:pPr>
        <w:pStyle w:val="para3"/>
        <w:spacing w:before="280" w:after="140"/>
      </w:pPr>
      <w:r>
        <w:rPr>
          <w:b/>
          <w:bCs/>
          <w:color w:val="2d5fa0"/>
        </w:rPr>
        <w:t>5.2 Resolución de Técnica Activa</w:t>
      </w:r>
      <w:r/>
    </w:p>
    <w:p>
      <w:pPr>
        <w:spacing w:before="80" w:after="120"/>
        <w:jc w:val="both"/>
      </w:pPr>
      <w:r>
        <w:rPr>
          <w:color w:val="1a1a1a"/>
        </w:rPr>
        <w:t>La técnica activa se resuelve desde el BDIProfileAnalysis del motor clínico:</w:t>
      </w:r>
      <w:r/>
    </w:p>
    <w:p>
      <w:pPr>
        <w:pStyle w:val="para9"/>
        <w:numPr>
          <w:ilvl w:val="0"/>
          <w:numId w:val="6"/>
        </w:numPr>
        <w:ind w:left="720" w:hanging="360"/>
        <w:spacing w:before="60" w:after="60"/>
      </w:pPr>
      <w:r>
        <w:t>primaryTechnique = "rc" → Reestructuración Cognitiva (perfil cognitivo predominante)</w:t>
      </w:r>
    </w:p>
    <w:p>
      <w:pPr>
        <w:pStyle w:val="para9"/>
        <w:numPr>
          <w:ilvl w:val="0"/>
          <w:numId w:val="6"/>
        </w:numPr>
        <w:ind w:left="720" w:hanging="360"/>
        <w:spacing w:before="60" w:after="60"/>
      </w:pPr>
      <w:r>
        <w:t>primaryTechnique = "ac" o null → Activación Conductual (default)</w:t>
      </w:r>
    </w:p>
    <w:p>
      <w:pPr>
        <w:spacing w:before="80" w:after="120"/>
        <w:jc w:val="both"/>
      </w:pPr>
      <w:r>
        <w:rPr>
          <w:color w:val="1a1a1a"/>
        </w:rPr>
        <w:t>El BDIProfileAnalysis analiza la distribución de ítems del BDI-II para determinar si el perfil del paciente es principalmente conductual (anhedonia, retirada social) o cognitivo (distorsiones, rumiación).</w:t>
      </w:r>
      <w:r/>
    </w:p>
    <w:p>
      <w:pPr>
        <w:spacing w:before="60" w:after="60"/>
      </w:pPr>
      <w:r/>
    </w:p>
    <w:p>
      <w:pPr>
        <w:pStyle w:val="para3"/>
        <w:spacing w:before="280" w:after="140"/>
      </w:pPr>
      <w:r>
        <w:rPr>
          <w:b/>
          <w:bCs/>
          <w:color w:val="2d5fa0"/>
        </w:rPr>
        <w:t>5.3 Adapters de Escala</w:t>
      </w:r>
      <w:r/>
    </w:p>
    <w:p>
      <w:pPr>
        <w:spacing w:before="80" w:after="120"/>
        <w:jc w:val="both"/>
      </w:pPr>
      <w:r>
        <w:rPr>
          <w:color w:val="1a1a1a"/>
        </w:rPr>
        <w:t>Los inputs del UI usan SUDs (Subjective Units of Distress, escala 0-10). Los flujos RC requieren escala de Convicción (0-100). El dispatcher aplica la transformación:</w:t>
      </w:r>
      <w:r/>
    </w:p>
    <w:p>
      <w:pPr>
        <w:ind w:left="720"/>
        <w:spacing w:before="100" w:after="100"/>
        <w:pBdr>
          <w:top w:val="nil" w:sz="0" w:space="3" w:color="000000" tmln="20, 20, 20, 0, 60"/>
          <w:left w:val="single" w:sz="6" w:space="10" w:color="2D5FA0" tmln="15, 20, 20, 0, 200"/>
          <w:bottom w:val="nil" w:sz="0" w:space="3" w:color="000000" tmln="20, 20, 20, 0, 60"/>
          <w:right w:val="nil" w:sz="0" w:space="3" w:color="000000" tmln="20, 20, 20, 0, 60"/>
          <w:between w:val="nil" w:sz="0" w:space="0" w:color="000000" tmln="20, 20, 20, 0, 0"/>
        </w:pBdr>
        <w:shd w:val="none"/>
      </w:pPr>
      <w:r>
        <w:rPr>
          <w:rFonts w:ascii="Courier New" w:hAnsi="Courier New" w:eastAsia="Courier New" w:cs="Courier New"/>
          <w:color w:val="2d5fa0"/>
          <w:sz w:val="18"/>
          <w:szCs w:val="18"/>
        </w:rPr>
        <w:t>Conviction = intensity × 10</w:t>
      </w:r>
      <w:r/>
    </w:p>
    <w:p>
      <w:pPr>
        <w:spacing w:before="80" w:after="120"/>
        <w:jc w:val="both"/>
      </w:pPr>
      <w:r>
        <w:rPr>
          <w:color w:val="1a1a1a"/>
        </w:rPr>
        <w:t>Este proxy es clínicamente aceptable para el laboratorio: la intensidad emocional correlaciona con la convicción en el pensamiento automático (Beck, 1979). En un entorno de producción se usaría una escala de Convicción directa.</w:t>
      </w:r>
      <w:r/>
    </w:p>
    <w:p>
      <w:pPr>
        <w:spacing w:before="60" w:after="60"/>
      </w:pPr>
      <w:r/>
    </w:p>
    <w:p>
      <w:pPr>
        <w:pStyle w:val="para3"/>
        <w:spacing w:before="280" w:after="140"/>
      </w:pPr>
      <w:r>
        <w:rPr>
          <w:b/>
          <w:bCs/>
          <w:color w:val="2d5fa0"/>
        </w:rPr>
        <w:t>5.4 Dispatchers Implementados</w:t>
      </w:r>
      <w:r/>
    </w:p>
    <w:tbl>
      <w:tblPr>
        <w:name w:val="Tabla8"/>
        <w:tabOrder w:val="0"/>
        <w:jc w:val="left"/>
        <w:tblInd w:w="0" w:type="dxa"/>
        <w:tblW w:w="9026" w:type="dxa"/>
      </w:tblPr>
      <w:tblGrid>
        <w:gridCol w:w="2800"/>
        <w:gridCol w:w="6226"/>
      </w:tblGrid>
      <w:tr>
        <w:trPr>
          <w:tblHeader w:val="0"/>
          <w:cantSplit w:val="0"/>
          <w:trHeight w:val="0" w:hRule="auto"/>
        </w:trPr>
        <w:tc>
          <w:tcPr>
            <w:tcW w:w="28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Dispatcher</w:t>
            </w:r>
          </w:p>
        </w:tc>
        <w:tc>
          <w:tcPr>
            <w:tcW w:w="62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Adapta (AC → RC)</w:t>
            </w:r>
          </w:p>
        </w:tc>
      </w:tr>
      <w:tr>
        <w:trPr>
          <w:tblHeader w:val="0"/>
          <w:cantSplit w:val="0"/>
          <w:trHeight w:val="0" w:hRule="auto"/>
        </w:trPr>
        <w:tc>
          <w:tcPr>
            <w:tcW w:w="28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dispatchAssessmentFlow</w:t>
            </w:r>
          </w:p>
        </w:tc>
        <w:tc>
          <w:tcPr>
            <w:tcW w:w="62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baselineIntensity×10 → emotionIntensity/beliefConviction; cognitivePatterns → cognitiveDistortions</w:t>
            </w:r>
          </w:p>
        </w:tc>
      </w:tr>
      <w:tr>
        <w:trPr>
          <w:tblHeader w:val="0"/>
          <w:cantSplit w:val="0"/>
          <w:trHeight w:val="0" w:hRule="auto"/>
        </w:trPr>
        <w:tc>
          <w:tcPr>
            <w:tcW w:w="28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dispatchPsychoeducationFlow</w:t>
            </w:r>
          </w:p>
        </w:tc>
        <w:tc>
          <w:tcPr>
            <w:tcW w:w="62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abcData → cognitiveData (antecedente→PA, consecuencia→emoción, conducta→distorsión)</w:t>
            </w:r>
          </w:p>
        </w:tc>
      </w:tr>
      <w:tr>
        <w:trPr>
          <w:tblHeader w:val="0"/>
          <w:cantSplit w:val="0"/>
          <w:trHeight w:val="0" w:hRule="auto"/>
        </w:trPr>
        <w:tc>
          <w:tcPr>
            <w:tcW w:w="28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dispatchGoalsFlow</w:t>
            </w:r>
          </w:p>
        </w:tc>
        <w:tc>
          <w:tcPr>
            <w:tcW w:w="62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startIntensity×10 → startConviction; targetIntensity×10 → targetConviction</w:t>
            </w:r>
          </w:p>
        </w:tc>
      </w:tr>
      <w:tr>
        <w:trPr>
          <w:tblHeader w:val="0"/>
          <w:cantSplit w:val="0"/>
          <w:trHeight w:val="0" w:hRule="auto"/>
        </w:trPr>
        <w:tc>
          <w:tcPr>
            <w:tcW w:w="28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dispatchEvaluationFlow</w:t>
            </w:r>
          </w:p>
        </w:tc>
        <w:tc>
          <w:tcPr>
            <w:tcW w:w="62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baselineIntensity×10 → baselineConviction (RC es superset de AC)</w:t>
            </w:r>
          </w:p>
        </w:tc>
      </w:tr>
      <w:tr>
        <w:trPr>
          <w:tblHeader w:val="0"/>
          <w:cantSplit w:val="0"/>
          <w:trHeight w:val="0" w:hRule="auto"/>
        </w:trPr>
        <w:tc>
          <w:tcPr>
            <w:tcW w:w="28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dispatchFollowUpFlow</w:t>
            </w:r>
          </w:p>
        </w:tc>
        <w:tc>
          <w:tcPr>
            <w:tcW w:w="62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trapsIdentified → distortionsIdentified; suma conviction baseline/current</w:t>
            </w:r>
          </w:p>
        </w:tc>
      </w:tr>
    </w:tbl>
    <w:p>
      <w:pPr>
        <w:pStyle w:val="para2"/>
        <w:spacing w:before="360" w:after="180"/>
      </w:pPr>
      <w:r>
        <w:br w:type="page"/>
      </w:r>
      <w:r>
        <w:rPr>
          <w:b/>
          <w:bCs/>
          <w:color w:val="1b2b4b"/>
        </w:rPr>
        <w:t>6. Orquestador de Sesión Clínica</w:t>
      </w:r>
      <w:r/>
    </w:p>
    <w:p>
      <w:pPr>
        <w:pStyle w:val="para3"/>
        <w:spacing w:before="280" w:after="140"/>
      </w:pPr>
      <w:r>
        <w:rPr>
          <w:b/>
          <w:bCs/>
          <w:color w:val="2d5fa0"/>
        </w:rPr>
        <w:t>6.1 Lógica de Prioridad</w:t>
      </w:r>
      <w:r/>
    </w:p>
    <w:p>
      <w:pPr>
        <w:spacing w:before="80" w:after="120"/>
        <w:jc w:val="both"/>
      </w:pPr>
      <w:r>
        <w:rPr>
          <w:color w:val="1a1a1a"/>
        </w:rPr>
        <w:t>El session.orchestrator.ts implementa la lógica de orquestación clínica siguiendo una jerarquía de prioridades explícita:</w:t>
      </w:r>
      <w:r/>
    </w:p>
    <w:p>
      <w:pPr>
        <w:pStyle w:val="para9"/>
        <w:numPr>
          <w:ilvl w:val="0"/>
          <w:numId w:val="5"/>
        </w:numPr>
        <w:ind w:left="720" w:hanging="360"/>
        <w:spacing w:before="60" w:after="60"/>
      </w:pPr>
      <w:r>
        <w:t>Ético (máxima prioridad): evaluación de contraindicaciones y criterios de derivación obligatoria</w:t>
      </w:r>
    </w:p>
    <w:p>
      <w:pPr>
        <w:pStyle w:val="para9"/>
        <w:numPr>
          <w:ilvl w:val="0"/>
          <w:numId w:val="5"/>
        </w:numPr>
        <w:ind w:left="720" w:hanging="360"/>
        <w:spacing w:before="60" w:after="60"/>
      </w:pPr>
      <w:r>
        <w:t>Automonitoreo: análisis de cambio clínico (Jacobson-Truax)</w:t>
      </w:r>
    </w:p>
    <w:p>
      <w:pPr>
        <w:pStyle w:val="para9"/>
        <w:numPr>
          <w:ilvl w:val="0"/>
          <w:numId w:val="5"/>
        </w:numPr>
        <w:ind w:left="720" w:hanging="360"/>
        <w:spacing w:before="60" w:after="60"/>
      </w:pPr>
      <w:r>
        <w:t>Relacional + Severidad: derivación de severidad + adaptación de lenguaje terapéutico</w:t>
      </w:r>
    </w:p>
    <w:p>
      <w:pPr>
        <w:pStyle w:val="para9"/>
        <w:numPr>
          <w:ilvl w:val="0"/>
          <w:numId w:val="5"/>
        </w:numPr>
        <w:ind w:left="720" w:hanging="360"/>
        <w:spacing w:before="60" w:after="60"/>
      </w:pPr>
      <w:r>
        <w:t>Decisión terapeuta: selección de habilidad relacional</w:t>
      </w:r>
    </w:p>
    <w:p>
      <w:pPr>
        <w:spacing w:before="80" w:after="120"/>
        <w:jc w:val="both"/>
      </w:pPr>
      <w:r>
        <w:rPr>
          <w:color w:val="1a1a1a"/>
        </w:rPr>
        <w:t>Si el paso 1 detecta un criterio de derivación (ej: suicidio activo), el protocolo de crisis se activa de inmediato y se cortocircuita el resto del flujo.</w:t>
      </w:r>
      <w:r/>
    </w:p>
    <w:p>
      <w:pPr>
        <w:spacing w:before="60" w:after="60"/>
      </w:pPr>
      <w:r/>
    </w:p>
    <w:p>
      <w:pPr>
        <w:pStyle w:val="para3"/>
        <w:spacing w:before="280" w:after="140"/>
      </w:pPr>
      <w:r>
        <w:rPr>
          <w:b/>
          <w:bCs/>
          <w:color w:val="2d5fa0"/>
        </w:rPr>
        <w:t>6.2 Multi-técnica</w:t>
      </w:r>
      <w:r/>
    </w:p>
    <w:p>
      <w:pPr>
        <w:spacing w:before="80" w:after="120"/>
        <w:jc w:val="both"/>
      </w:pPr>
      <w:r>
        <w:rPr>
          <w:color w:val="1a1a1a"/>
        </w:rPr>
        <w:t>El orquestador soporta múltiples técnicas via el campo techniqueId en SessionContext. Las reglas éticas (contraindicaciones, criterios de derivación) se cargan dinámicamente desde el profile de la técnica activa (ac.profile.json, rc.profile.json).</w:t>
      </w:r>
      <w:r/>
    </w:p>
    <w:p>
      <w:pPr>
        <w:spacing w:before="60" w:after="60"/>
      </w:pPr>
      <w:r/>
    </w:p>
    <w:p>
      <w:pPr>
        <w:pStyle w:val="para3"/>
        <w:spacing w:before="280" w:after="140"/>
      </w:pPr>
      <w:r>
        <w:rPr>
          <w:b/>
          <w:bCs/>
          <w:color w:val="2d5fa0"/>
        </w:rPr>
        <w:t>6.3 Protocolo de Crisis</w:t>
      </w:r>
      <w:r/>
    </w:p>
    <w:p>
      <w:pPr>
        <w:spacing w:before="80" w:after="120"/>
        <w:jc w:val="both"/>
      </w:pPr>
      <w:r>
        <w:rPr>
          <w:color w:val="1a1a1a"/>
        </w:rPr>
        <w:t>Cuando el evaluador ético detecta una señal de derivación obligatoria, se activa el protocolo de crisis real (crisis.protocol.ts) con datos del KB compartido (shared/data/protocolo_crisis.json). El protocolo incluye:</w:t>
      </w:r>
      <w:r/>
    </w:p>
    <w:p>
      <w:pPr>
        <w:pStyle w:val="para9"/>
        <w:numPr>
          <w:ilvl w:val="0"/>
          <w:numId w:val="6"/>
        </w:numPr>
        <w:ind w:left="720" w:hanging="360"/>
        <w:spacing w:before="60" w:after="60"/>
      </w:pPr>
      <w:r>
        <w:t>6 pasos de intervención estructurados</w:t>
      </w:r>
    </w:p>
    <w:p>
      <w:pPr>
        <w:pStyle w:val="para9"/>
        <w:numPr>
          <w:ilvl w:val="0"/>
          <w:numId w:val="6"/>
        </w:numPr>
        <w:ind w:left="720" w:hanging="360"/>
        <w:spacing w:before="60" w:after="60"/>
      </w:pPr>
      <w:r>
        <w:t>Recursos de emergencia con contactos</w:t>
      </w:r>
    </w:p>
    <w:p>
      <w:pPr>
        <w:pStyle w:val="para9"/>
        <w:numPr>
          <w:ilvl w:val="0"/>
          <w:numId w:val="6"/>
        </w:numPr>
        <w:ind w:left="720" w:hanging="360"/>
        <w:spacing w:before="60" w:after="60"/>
      </w:pPr>
      <w:r>
        <w:t>Contraindicaciones específicas</w:t>
      </w:r>
    </w:p>
    <w:p>
      <w:pPr>
        <w:pStyle w:val="para9"/>
        <w:numPr>
          <w:ilvl w:val="0"/>
          <w:numId w:val="6"/>
        </w:numPr>
        <w:ind w:left="720" w:hanging="360"/>
        <w:spacing w:before="60" w:after="60"/>
      </w:pPr>
      <w:r>
        <w:t>Señales de alarma adicionales</w:t>
      </w:r>
    </w:p>
    <w:p>
      <w:pPr>
        <w:spacing w:before="80" w:after="120"/>
        <w:jc w:val="both"/>
      </w:pPr>
      <w:r>
        <w:rPr>
          <w:color w:val="1a1a1a"/>
        </w:rPr>
        <w:t>El protocolo es inmutable: cada llamada a avanzarPasoCrisis retorna un nuevo objeto sin mutar el original, siguiendo el principio de inmutabilidad funcional.</w:t>
      </w:r>
      <w:r/>
    </w:p>
    <w:p>
      <w:pPr>
        <w:pStyle w:val="para2"/>
        <w:spacing w:before="360" w:after="180"/>
      </w:pPr>
      <w:r>
        <w:br w:type="page"/>
      </w:r>
      <w:r>
        <w:rPr>
          <w:b/>
          <w:bCs/>
          <w:color w:val="1b2b4b"/>
        </w:rPr>
        <w:t>7. Cobertura de Tests</w:t>
      </w:r>
      <w:r/>
    </w:p>
    <w:p>
      <w:pPr>
        <w:spacing w:before="80" w:after="120"/>
        <w:jc w:val="both"/>
      </w:pPr>
      <w:r>
        <w:rPr>
          <w:color w:val="1a1a1a"/>
        </w:rPr>
        <w:t>El sistema cuenta con 287 tests distribuidos en 27 suites activas. Todos pasan en verde.</w:t>
      </w:r>
      <w:r/>
    </w:p>
    <w:p>
      <w:pPr>
        <w:spacing w:before="60" w:after="60"/>
      </w:pPr>
      <w:r/>
    </w:p>
    <w:tbl>
      <w:tblPr>
        <w:name w:val="Tabla9"/>
        <w:tabOrder w:val="0"/>
        <w:jc w:val="left"/>
        <w:tblInd w:w="0" w:type="dxa"/>
        <w:tblW w:w="9026" w:type="dxa"/>
      </w:tblPr>
      <w:tblGrid>
        <w:gridCol w:w="5000"/>
        <w:gridCol w:w="4026"/>
      </w:tblGrid>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Suite de Tests</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sessionFlowDispatcher (dispatcher multi-técnica)</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23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BDI-II Engine</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~25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BADS Engine (Behavioral Activation)</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~20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DAS Engine (Escala Actitudes Disfuncionales)</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~15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PHQ-9 Engine</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~15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SCL-90-R Engine</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~15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Flujos de sesión AC (6 fases)</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~50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Flujos de sesión RC (6 fases)</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~50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Crisis Protocol</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7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Ethical Evaluator (AC)</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~10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AC Resolver</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9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Adaptador de Comunicación</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9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Severity Derivator</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~8 tests</w:t>
            </w:r>
          </w:p>
        </w:tc>
      </w:tr>
      <w:tr>
        <w:trPr>
          <w:tblHeader w:val="0"/>
          <w:cantSplit w:val="0"/>
          <w:trHeight w:val="0" w:hRule="auto"/>
        </w:trPr>
        <w:tc>
          <w:tcPr>
            <w:tcW w:w="50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API Handlers</w:t>
            </w:r>
          </w:p>
        </w:tc>
        <w:tc>
          <w:tcPr>
            <w:tcW w:w="40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7 tests</w:t>
            </w:r>
          </w:p>
        </w:tc>
      </w:tr>
      <w:tr>
        <w:trPr>
          <w:tblHeader w:val="0"/>
          <w:cantSplit w:val="0"/>
          <w:trHeight w:val="0" w:hRule="auto"/>
        </w:trPr>
        <w:tc>
          <w:tcPr>
            <w:tcW w:w="50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TCCEngine Clinical Profile</w:t>
            </w:r>
          </w:p>
        </w:tc>
        <w:tc>
          <w:tcPr>
            <w:tcW w:w="40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~15 tests</w:t>
            </w:r>
          </w:p>
        </w:tc>
      </w:tr>
    </w:tbl>
    <w:p>
      <w:pPr>
        <w:pStyle w:val="para2"/>
        <w:spacing w:before="360" w:after="180"/>
      </w:pPr>
      <w:r>
        <w:br w:type="page"/>
      </w:r>
      <w:r>
        <w:rPr>
          <w:b/>
          <w:bCs/>
          <w:color w:val="1b2b4b"/>
        </w:rPr>
        <w:t>8. Decisiones de Diseño Clave</w:t>
      </w:r>
      <w:r/>
    </w:p>
    <w:p>
      <w:pPr>
        <w:pStyle w:val="para3"/>
        <w:spacing w:before="280" w:after="140"/>
      </w:pPr>
      <w:r>
        <w:rPr>
          <w:b/>
          <w:bCs/>
          <w:color w:val="2d5fa0"/>
        </w:rPr>
        <w:t>8.1 Género como Campo Libre</w:t>
      </w:r>
      <w:r/>
    </w:p>
    <w:p>
      <w:pPr>
        <w:spacing w:before="80" w:after="120"/>
        <w:jc w:val="both"/>
      </w:pPr>
      <w:r>
        <w:rPr>
          <w:color w:val="1a1a1a"/>
        </w:rPr>
        <w:t>El campo gender en PatientRegistration es de tipo string (no enum). Esta decisión respeta el principio ético de no imponer categorías de género predefinidas al paciente. El formulario muestra ejemplos (Mujer, Hombre, No binario, Prefiero no decir...) pero acepta cualquier texto.</w:t>
      </w:r>
      <w:r/>
    </w:p>
    <w:p>
      <w:pPr>
        <w:spacing w:before="60" w:after="60"/>
      </w:pPr>
      <w:r/>
    </w:p>
    <w:p>
      <w:pPr>
        <w:pStyle w:val="para3"/>
        <w:spacing w:before="280" w:after="140"/>
      </w:pPr>
      <w:r>
        <w:rPr>
          <w:b/>
          <w:bCs/>
          <w:color w:val="2d5fa0"/>
        </w:rPr>
        <w:t>8.2 Doble Persistencia (Zustand + IndexedDB)</w:t>
      </w:r>
      <w:r/>
    </w:p>
    <w:p>
      <w:pPr>
        <w:spacing w:before="80" w:after="120"/>
        <w:jc w:val="both"/>
      </w:pPr>
      <w:r>
        <w:rPr>
          <w:color w:val="1a1a1a"/>
        </w:rPr>
        <w:t>La estrategia de doble persistencia tiene un propósito claro: Zustand+localStorage provee acceso síncrono instantáneo (crítico para el rendimiento de la UI), mientras IndexedDB provee un almacenamiento más robusto y estructurado que sobrevive a limpiezas de caché del navegador.</w:t>
      </w:r>
      <w:r/>
    </w:p>
    <w:p>
      <w:pPr>
        <w:spacing w:before="60" w:after="60"/>
      </w:pPr>
      <w:r/>
    </w:p>
    <w:p>
      <w:pPr>
        <w:pStyle w:val="para3"/>
        <w:spacing w:before="280" w:after="140"/>
      </w:pPr>
      <w:r>
        <w:rPr>
          <w:b/>
          <w:bCs/>
          <w:color w:val="2d5fa0"/>
        </w:rPr>
        <w:t>8.3 patientFolders como Array</w:t>
      </w:r>
      <w:r/>
    </w:p>
    <w:p>
      <w:pPr>
        <w:spacing w:before="80" w:after="120"/>
        <w:jc w:val="both"/>
      </w:pPr>
      <w:r>
        <w:rPr>
          <w:color w:val="1a1a1a"/>
        </w:rPr>
        <w:t>Los patientFolders se almacenan como array (no Record&lt;id, folder&gt;) para facilitar la renderización de listas en el módulo terapeuta y permitir ordenamiento y filtrado naturales. El método getFolder() hace la búsqueda por ID cuando es necesario.</w:t>
      </w:r>
      <w:r/>
    </w:p>
    <w:p>
      <w:pPr>
        <w:spacing w:before="60" w:after="60"/>
      </w:pPr>
      <w:r/>
    </w:p>
    <w:p>
      <w:pPr>
        <w:pStyle w:val="para3"/>
        <w:spacing w:before="280" w:after="140"/>
      </w:pPr>
      <w:r>
        <w:rPr>
          <w:b/>
          <w:bCs/>
          <w:color w:val="2d5fa0"/>
        </w:rPr>
        <w:t>8.4 Proxy SUDs→Conviction</w:t>
      </w:r>
      <w:r/>
    </w:p>
    <w:p>
      <w:pPr>
        <w:spacing w:before="80" w:after="120"/>
        <w:jc w:val="both"/>
      </w:pPr>
      <w:r>
        <w:rPr>
          <w:color w:val="1a1a1a"/>
        </w:rPr>
        <w:t>La escala de Convicción de Beck (0-100) no está implementada en el UI actual. Para mantener la funcionalidad del dispatcher RC, se usa el proxy Conviction = SUDs × 10. Este es un compromiso aceptable para el laboratorio; en producción se requeriría una pregunta explícita de convicción.</w:t>
      </w:r>
      <w:r/>
    </w:p>
    <w:p>
      <w:pPr>
        <w:spacing w:before="60" w:after="60"/>
      </w:pPr>
      <w:r/>
    </w:p>
    <w:p>
      <w:pPr>
        <w:pStyle w:val="para3"/>
        <w:spacing w:before="280" w:after="140"/>
      </w:pPr>
      <w:r>
        <w:rPr>
          <w:b/>
          <w:bCs/>
          <w:color w:val="2d5fa0"/>
        </w:rPr>
        <w:t>8.5 Separación UI/Clínica</w:t>
      </w:r>
      <w:r/>
    </w:p>
    <w:p>
      <w:pPr>
        <w:spacing w:before="80" w:after="120"/>
        <w:jc w:val="both"/>
      </w:pPr>
      <w:r>
        <w:rPr>
          <w:color w:val="1a1a1a"/>
        </w:rPr>
        <w:t>Los dispatchers encapsulan la lógica de transformación de escalas y renombrado de campos. Esto permite que los screens (UI) sean completamente agnósticos a la técnica activa. Un futuro screen de Assessment no necesita saber si está en modo AC o RC.</w:t>
      </w:r>
      <w:r/>
    </w:p>
    <w:p>
      <w:pPr>
        <w:pStyle w:val="para2"/>
        <w:spacing w:before="360" w:after="180"/>
      </w:pPr>
      <w:r>
        <w:br w:type="page"/>
      </w:r>
      <w:r>
        <w:rPr>
          <w:b/>
          <w:bCs/>
          <w:color w:val="1b2b4b"/>
        </w:rPr>
        <w:t>9. Trabajo Futuro y Próximos Pasos</w:t>
      </w:r>
      <w:r/>
    </w:p>
    <w:p>
      <w:pPr>
        <w:pStyle w:val="para3"/>
        <w:spacing w:before="280" w:after="140"/>
      </w:pPr>
      <w:r>
        <w:rPr>
          <w:b/>
          <w:bCs/>
          <w:color w:val="2d5fa0"/>
        </w:rPr>
        <w:t>9.1 Módulo Patient — Pendiente</w:t>
      </w:r>
      <w:r/>
    </w:p>
    <w:p>
      <w:pPr>
        <w:pStyle w:val="para9"/>
        <w:numPr>
          <w:ilvl w:val="0"/>
          <w:numId w:val="6"/>
        </w:numPr>
        <w:ind w:left="720" w:hanging="360"/>
        <w:spacing w:before="60" w:after="60"/>
      </w:pPr>
      <w:r>
        <w:t>Pantalla de edición de datos del paciente (accesible desde el módulo terapeuta)</w:t>
      </w:r>
    </w:p>
    <w:p>
      <w:pPr>
        <w:pStyle w:val="para9"/>
        <w:numPr>
          <w:ilvl w:val="0"/>
          <w:numId w:val="6"/>
        </w:numPr>
        <w:ind w:left="720" w:hanging="360"/>
        <w:spacing w:before="60" w:after="60"/>
      </w:pPr>
      <w:r>
        <w:t>Lista de pacientes con búsqueda y filtros</w:t>
      </w:r>
    </w:p>
    <w:p>
      <w:pPr>
        <w:pStyle w:val="para9"/>
        <w:numPr>
          <w:ilvl w:val="0"/>
          <w:numId w:val="6"/>
        </w:numPr>
        <w:ind w:left="720" w:hanging="360"/>
        <w:spacing w:before="60" w:after="60"/>
      </w:pPr>
      <w:r>
        <w:t>Exportación de carpeta clínica a PDF</w:t>
      </w:r>
    </w:p>
    <w:p>
      <w:pPr>
        <w:pStyle w:val="para9"/>
        <w:numPr>
          <w:ilvl w:val="0"/>
          <w:numId w:val="6"/>
        </w:numPr>
        <w:ind w:left="720" w:hanging="360"/>
        <w:spacing w:before="60" w:after="60"/>
      </w:pPr>
      <w:r>
        <w:t>Indicador visual de "nuevo mensaje del paciente" en la carpeta</w:t>
      </w:r>
    </w:p>
    <w:p>
      <w:pPr>
        <w:spacing w:before="60" w:after="60"/>
      </w:pPr>
      <w:r/>
    </w:p>
    <w:p>
      <w:pPr>
        <w:pStyle w:val="para3"/>
        <w:spacing w:before="280" w:after="140"/>
      </w:pPr>
      <w:r>
        <w:rPr>
          <w:b/>
          <w:bCs/>
          <w:color w:val="2d5fa0"/>
        </w:rPr>
        <w:t>9.2 Entrevista — Mejoras Clínicas</w:t>
      </w:r>
      <w:r/>
    </w:p>
    <w:p>
      <w:pPr>
        <w:pStyle w:val="para9"/>
        <w:numPr>
          <w:ilvl w:val="0"/>
          <w:numId w:val="6"/>
        </w:numPr>
        <w:ind w:left="720" w:hanging="360"/>
        <w:spacing w:before="60" w:after="60"/>
      </w:pPr>
      <w:r>
        <w:t>Coherencia del diálogo: evitar preguntas repetitivas en la entrevista guiada por IA</w:t>
      </w:r>
    </w:p>
    <w:p>
      <w:pPr>
        <w:pStyle w:val="para9"/>
        <w:numPr>
          <w:ilvl w:val="0"/>
          <w:numId w:val="6"/>
        </w:numPr>
        <w:ind w:left="720" w:hanging="360"/>
        <w:spacing w:before="60" w:after="60"/>
      </w:pPr>
      <w:r>
        <w:t>Integración de Terapia Basada en Procesos (PBT, Hofmann &amp; Hayes): pasar de protocolo por diagnóstico a identificación de procesos psicológicos disfuncionales</w:t>
      </w:r>
    </w:p>
    <w:p>
      <w:pPr>
        <w:pStyle w:val="para9"/>
        <w:numPr>
          <w:ilvl w:val="0"/>
          <w:numId w:val="6"/>
        </w:numPr>
        <w:ind w:left="720" w:hanging="360"/>
        <w:spacing w:before="60" w:after="60"/>
      </w:pPr>
      <w:r>
        <w:t>Inventario GAD-7 completo en la entrevista inicial</w:t>
      </w:r>
    </w:p>
    <w:p>
      <w:pPr>
        <w:spacing w:before="60" w:after="60"/>
      </w:pPr>
      <w:r/>
    </w:p>
    <w:p>
      <w:pPr>
        <w:pStyle w:val="para3"/>
        <w:spacing w:before="280" w:after="140"/>
      </w:pPr>
      <w:r>
        <w:rPr>
          <w:b/>
          <w:bCs/>
          <w:color w:val="2d5fa0"/>
        </w:rPr>
        <w:t>9.3 Motor Clínico — Expansión</w:t>
      </w:r>
      <w:r/>
    </w:p>
    <w:p>
      <w:pPr>
        <w:pStyle w:val="para9"/>
        <w:numPr>
          <w:ilvl w:val="0"/>
          <w:numId w:val="6"/>
        </w:numPr>
        <w:ind w:left="720" w:hanging="360"/>
        <w:spacing w:before="60" w:after="60"/>
      </w:pPr>
      <w:r>
        <w:t>Soporte para técnicas ACT, Mindfulness y DC en los flujos de sesión (actualmente solo AC y RC tienen flujos completos)</w:t>
      </w:r>
    </w:p>
    <w:p>
      <w:pPr>
        <w:pStyle w:val="para9"/>
        <w:numPr>
          <w:ilvl w:val="0"/>
          <w:numId w:val="6"/>
        </w:numPr>
        <w:ind w:left="720" w:hanging="360"/>
        <w:spacing w:before="60" w:after="60"/>
      </w:pPr>
      <w:r>
        <w:t>Escala de Convicción explícita en el Assessment RC</w:t>
      </w:r>
    </w:p>
    <w:p>
      <w:pPr>
        <w:pStyle w:val="para9"/>
        <w:numPr>
          <w:ilvl w:val="0"/>
          <w:numId w:val="6"/>
        </w:numPr>
        <w:ind w:left="720" w:hanging="360"/>
        <w:spacing w:before="60" w:after="60"/>
      </w:pPr>
      <w:r>
        <w:t>Análisis de cambio Jacobson-Truax con más inventarios (BADS, DAS)</w:t>
      </w:r>
    </w:p>
    <w:p>
      <w:pPr>
        <w:spacing w:before="60" w:after="60"/>
      </w:pPr>
      <w:r/>
    </w:p>
    <w:p>
      <w:pPr>
        <w:pStyle w:val="para3"/>
        <w:spacing w:before="280" w:after="140"/>
      </w:pPr>
      <w:r>
        <w:rPr>
          <w:b/>
          <w:bCs/>
          <w:color w:val="2d5fa0"/>
        </w:rPr>
        <w:t>9.4 Infraestructura</w:t>
      </w:r>
      <w:r/>
    </w:p>
    <w:p>
      <w:pPr>
        <w:pStyle w:val="para9"/>
        <w:numPr>
          <w:ilvl w:val="0"/>
          <w:numId w:val="6"/>
        </w:numPr>
        <w:ind w:left="720" w:hanging="360"/>
        <w:spacing w:before="60" w:after="60"/>
      </w:pPr>
      <w:r>
        <w:t>Resolver el problema de compatibilidad Windows/Linux en node_modules (npm ci en entorno Linux)</w:t>
      </w:r>
    </w:p>
    <w:p>
      <w:pPr>
        <w:pStyle w:val="para9"/>
        <w:numPr>
          <w:ilvl w:val="0"/>
          <w:numId w:val="6"/>
        </w:numPr>
        <w:ind w:left="720" w:hanging="360"/>
        <w:spacing w:before="60" w:after="60"/>
      </w:pPr>
      <w:r>
        <w:t>Integrar kb:audit en CI/CD como gate de calidad</w:t>
      </w:r>
    </w:p>
    <w:p>
      <w:pPr>
        <w:pStyle w:val="para9"/>
        <w:numPr>
          <w:ilvl w:val="0"/>
          <w:numId w:val="6"/>
        </w:numPr>
        <w:ind w:left="720" w:hanging="360"/>
        <w:spacing w:before="60" w:after="60"/>
      </w:pPr>
      <w:r>
        <w:t>Añadir tests de integración para PatientRegisterScreen con mocks de IndexedDB</w:t>
      </w:r>
    </w:p>
    <w:p>
      <w:pPr>
        <w:pStyle w:val="para2"/>
        <w:spacing w:before="360" w:after="180"/>
      </w:pPr>
      <w:r>
        <w:br w:type="page"/>
      </w:r>
      <w:r>
        <w:rPr>
          <w:b/>
          <w:bCs/>
          <w:color w:val="1b2b4b"/>
        </w:rPr>
        <w:t>10. Referencias Bibliográficas</w:t>
      </w:r>
      <w:r/>
    </w:p>
    <w:tbl>
      <w:tblPr>
        <w:name w:val="Tabla10"/>
        <w:tabOrder w:val="0"/>
        <w:jc w:val="left"/>
        <w:tblInd w:w="0" w:type="dxa"/>
        <w:tblW w:w="9026" w:type="dxa"/>
      </w:tblPr>
      <w:tblGrid>
        <w:gridCol w:w="4500"/>
        <w:gridCol w:w="4526"/>
      </w:tblGrid>
      <w:tr>
        <w:trPr>
          <w:tblHeader w:val="0"/>
          <w:cantSplit w:val="0"/>
          <w:trHeight w:val="0" w:hRule="auto"/>
        </w:trPr>
        <w:tc>
          <w:tcPr>
            <w:tcW w:w="4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Referencia</w:t>
            </w:r>
          </w:p>
        </w:tc>
        <w:tc>
          <w:tcPr>
            <w:tcW w:w="4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Contexto de uso</w:t>
            </w:r>
          </w:p>
        </w:tc>
      </w:tr>
      <w:tr>
        <w:trPr>
          <w:tblHeader w:val="0"/>
          <w:cantSplit w:val="0"/>
          <w:trHeight w:val="0" w:hRule="auto"/>
        </w:trPr>
        <w:tc>
          <w:tcPr>
            <w:tcW w:w="4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Beck, A.T. (1979). Cognitive therapy of depression. Guilford Press.</w:t>
            </w:r>
          </w:p>
        </w:tc>
        <w:tc>
          <w:tcPr>
            <w:tcW w:w="4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Escala de Convicción, modelo cognitivo</w:t>
            </w:r>
          </w:p>
        </w:tc>
      </w:tr>
      <w:tr>
        <w:trPr>
          <w:tblHeader w:val="0"/>
          <w:cantSplit w:val="0"/>
          <w:trHeight w:val="0" w:hRule="auto"/>
        </w:trPr>
        <w:tc>
          <w:tcPr>
            <w:tcW w:w="4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Jacobson, N.S. &amp; Truax, P. (1991). Clinical significance: a statistical approach. JCCP, 59(1), 12-19.</w:t>
            </w:r>
          </w:p>
        </w:tc>
        <w:tc>
          <w:tcPr>
            <w:tcW w:w="4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Análisis de cambio clínicamente significativo</w:t>
            </w:r>
          </w:p>
        </w:tc>
      </w:tr>
      <w:tr>
        <w:trPr>
          <w:tblHeader w:val="0"/>
          <w:cantSplit w:val="0"/>
          <w:trHeight w:val="0" w:hRule="auto"/>
        </w:trPr>
        <w:tc>
          <w:tcPr>
            <w:tcW w:w="4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Martell, C.R., Dimidjian, S. &amp; Herman-Dunn, R. (2010). Behavioral activation for depression. Guilford.</w:t>
            </w:r>
          </w:p>
        </w:tc>
        <w:tc>
          <w:tcPr>
            <w:tcW w:w="4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Protocolo AC — 13 áreas KB</w:t>
            </w:r>
          </w:p>
        </w:tc>
      </w:tr>
      <w:tr>
        <w:trPr>
          <w:tblHeader w:val="0"/>
          <w:cantSplit w:val="0"/>
          <w:trHeight w:val="0" w:hRule="auto"/>
        </w:trPr>
        <w:tc>
          <w:tcPr>
            <w:tcW w:w="4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Lejuez, C.W. et al. (2001). Evaluation of a behavioral activation treatment for depression. Behav Modif, 25(2).</w:t>
            </w:r>
          </w:p>
        </w:tc>
        <w:tc>
          <w:tcPr>
            <w:tcW w:w="4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AC — técnicas específicas</w:t>
            </w:r>
          </w:p>
        </w:tc>
      </w:tr>
      <w:tr>
        <w:trPr>
          <w:tblHeader w:val="0"/>
          <w:cantSplit w:val="0"/>
          <w:trHeight w:val="0" w:hRule="auto"/>
        </w:trPr>
        <w:tc>
          <w:tcPr>
            <w:tcW w:w="4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Persons, J.B. (2008). The case formulation approach to CBT. Guilford.</w:t>
            </w:r>
          </w:p>
        </w:tc>
        <w:tc>
          <w:tcPr>
            <w:tcW w:w="4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Formulación de caso, estructura InterviewReport</w:t>
            </w:r>
          </w:p>
        </w:tc>
      </w:tr>
      <w:tr>
        <w:trPr>
          <w:tblHeader w:val="0"/>
          <w:cantSplit w:val="0"/>
          <w:trHeight w:val="0" w:hRule="auto"/>
        </w:trPr>
        <w:tc>
          <w:tcPr>
            <w:tcW w:w="4500"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Hofmann, S.G. &amp; Hayes, S.C. (2019). Process-based CBT. Context Press.</w:t>
            </w:r>
          </w:p>
        </w:tc>
        <w:tc>
          <w:tcPr>
            <w:tcW w:w="4526" w:type="dxa"/>
            <w:shd w:val="solid" w:color="FFFFFF" tmshd="1677721856, 0, 16777215"/>
            <w:tcMar>
              <w:top w:w="100" w:type="dxa"/>
              <w:left w:w="120" w:type="dxa"/>
              <w:bottom w:w="100" w:type="dxa"/>
              <w:right w:w="120" w:type="dxa"/>
            </w:tcMar>
            <w:tcBorders>
              <w:top w:val="single" w:sz="1" w:space="0" w:color="CCCCCC" tmln="3, 20, 20, 0, 0"/>
              <w:left w:val="single" w:sz="1" w:space="0" w:color="CCCCCC" tmln="3, 20, 20, 0, 0"/>
              <w:bottom w:val="single" w:sz="1" w:space="0" w:color="CCCCCC" tmln="3, 20, 20, 0, 0"/>
              <w:right w:val="single" w:sz="1" w:space="0" w:color="CCCCCC" tmln="3, 20, 20, 0, 0"/>
              <w:tl2br w:val="nil" w:sz="0" w:space="0" w:color="000000" tmln="20, 20, 20, 0, 0"/>
              <w:tr2bl w:val="nil" w:sz="0" w:space="0" w:color="000000" tmln="20, 20, 20, 0, 0"/>
            </w:tcBorders>
            <w:tmTcPr id="1773673510" protected="0"/>
          </w:tcPr>
          <w:p>
            <w:pPr/>
            <w:r>
              <w:t>Terapia Basada en Procesos — trabajo futuro</w:t>
            </w:r>
          </w:p>
        </w:tc>
      </w:tr>
      <w:tr>
        <w:trPr>
          <w:tblHeader w:val="0"/>
          <w:cantSplit w:val="0"/>
          <w:trHeight w:val="0" w:hRule="auto"/>
        </w:trPr>
        <w:tc>
          <w:tcPr>
            <w:tcW w:w="4500"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Barraca, J. &amp; Pérez-Álvarez, M. (2015). Más allá de la depresión. Desclée.</w:t>
            </w:r>
          </w:p>
        </w:tc>
        <w:tc>
          <w:tcPr>
            <w:tcW w:w="4526" w:type="dxa"/>
            <w:shd w:val="solid" w:color="F5F8FC" tmshd="1677721856, 0, 16578805"/>
            <w:tcMar>
              <w:top w:w="100" w:type="dxa"/>
              <w:left w:w="120" w:type="dxa"/>
              <w:bottom w:w="100" w:type="dxa"/>
              <w:right w:w="120" w:type="dxa"/>
            </w:tcMar>
            <w:tcBorders>
              <w:top w:val="single" w:sz="1" w:space="0" w:color="CCCCCC" tmln="3, 20, 20, 0, 0"/>
              <w:left w:val="single" w:sz="1" w:space="0" w:color="CCCCCC" tmln="3, 20, 20, 0, 0"/>
              <w:bottom w:val="single" w:sz="4" w:space="0" w:color="000000" tmln="10, 20, 20, 0, 0"/>
              <w:right w:val="single" w:sz="1" w:space="0" w:color="CCCCCC" tmln="3, 20, 20, 0, 0"/>
              <w:tl2br w:val="nil" w:sz="0" w:space="0" w:color="000000" tmln="20, 20, 20, 0, 0"/>
              <w:tr2bl w:val="nil" w:sz="0" w:space="0" w:color="000000" tmln="20, 20, 20, 0, 0"/>
            </w:tcBorders>
            <w:tmTcPr id="1773673510" protected="0"/>
          </w:tcPr>
          <w:p>
            <w:pPr/>
            <w:r>
              <w:t>AC en contexto hispanohablante</w:t>
            </w:r>
          </w:p>
        </w:tc>
      </w:tr>
    </w:tbl>
    <w:p>
      <w:pPr>
        <w:spacing w:before="60" w:after="60"/>
      </w:pPr>
      <w:r/>
    </w:p>
    <w:p>
      <w:pPr>
        <w:spacing w:before="60" w:after="60"/>
      </w:pPr>
      <w:r/>
    </w:p>
    <w:p>
      <w:pPr>
        <w:spacing w:before="80" w:after="120"/>
        <w:jc w:val="both"/>
      </w:pPr>
      <w:r>
        <w:rPr>
          <w:i/>
          <w:iCs/>
          <w:color w:val="666666"/>
        </w:rPr>
        <w:t>Documento generado automáticamente por el sistema TCC-Lab. Para consultas técnicas o clínicas, contactar al equipo de desarrollo.</w:t>
      </w:r>
      <w:r/>
    </w:p>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nextPage"/>
      <w:pgSz w:h="16838" w:w="11906"/>
      <w:pgMar w:left="1440" w:top="1440" w:right="1440" w:bottom="1440" w:header="708" w:footer="708"/>
      <w:paperSrc w:first="0" w:other="0" a="0" b="0"/>
      <w:pgNumType w:fmt="decimal"/>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ourier New">
    <w:panose1 w:val="02070309020205020404"/>
    <w:charset w:val="00"/>
    <w:family w:val="moder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right"/>
      <w:pBdr>
        <w:top w:val="single" w:sz="4" w:space="1" w:color="CCCCCC" tmln="10, 20, 20, 0, 20"/>
        <w:left w:val="nil" w:sz="0" w:space="3" w:color="000000" tmln="20, 20, 20, 0, 60"/>
        <w:bottom w:val="nil" w:sz="0" w:space="3" w:color="000000" tmln="20, 20, 20, 0, 60"/>
        <w:right w:val="nil" w:sz="0" w:space="3" w:color="000000" tmln="20, 20, 20, 0, 60"/>
        <w:between w:val="nil" w:sz="0" w:space="0" w:color="000000" tmln="20, 20, 20, 0, 0"/>
      </w:pBdr>
      <w:shd w:val="none"/>
    </w:pPr>
    <w:r>
      <w:rPr>
        <w:color w:val="666666"/>
        <w:sz w:val="16"/>
        <w:szCs w:val="16"/>
      </w:rPr>
      <w:t xml:space="preserve">Página </w:t>
    </w:r>
    <w:r>
      <w:rPr>
        <w:color w:val="666666"/>
        <w:sz w:val="16"/>
        <w:szCs w:val="16"/>
      </w:rPr>
      <w:fldChar w:fldCharType="begin"/>
      <w:instrText xml:space="preserve"> PAGE </w:instrText>
      <w:fldChar w:fldCharType="separate"/>
      <w:t>1</w:t>
      <w:fldChar w:fldCharType="end"/>
    </w:r>
    <w:r>
      <w:rPr>
        <w:color w:val="666666"/>
        <w:sz w:val="16"/>
        <w:szCs w:val="16"/>
      </w:rPr>
      <w:t xml:space="preserve"> | Confidencial — uso interno TCC-Lab</w:t>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tabs defTabSz="708">
        <w:tab w:val="right" w:pos="9026" w:leader="none"/>
      </w:tabs>
      <w:pBdr>
        <w:top w:val="nil" w:sz="0" w:space="3" w:color="000000" tmln="20, 20, 20, 0, 60"/>
        <w:left w:val="nil" w:sz="0" w:space="3" w:color="000000" tmln="20, 20, 20, 0, 60"/>
        <w:bottom w:val="single" w:sz="6" w:space="1" w:color="2D5FA0" tmln="15, 20, 20, 0, 20"/>
        <w:right w:val="nil" w:sz="0" w:space="3" w:color="000000" tmln="20, 20, 20, 0, 60"/>
        <w:between w:val="nil" w:sz="0" w:space="0" w:color="000000" tmln="20, 20, 20, 0, 0"/>
      </w:pBdr>
      <w:shd w:val="none"/>
    </w:pPr>
    <w:r>
      <w:rPr>
        <w:b/>
        <w:bCs/>
        <w:color w:val="1b2b4b"/>
        <w:sz w:val="18"/>
        <w:szCs w:val="18"/>
      </w:rPr>
      <w:t xml:space="preserve">TCC-Lab </w:t>
    </w:r>
    <w:r>
      <w:rPr>
        <w:color w:val="666666"/>
        <w:sz w:val="18"/>
        <w:szCs w:val="18"/>
      </w:rPr>
      <w:t>· Informe Técnico-Clínico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a numerada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Lista numerada 2"/>
    <w:lvl w:ilvl="0">
      <w:numFmt w:val="bullet"/>
      <w:suff w:val="tab"/>
      <w:lvlText w:val="•"/>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
    <w:multiLevelType w:val="hybridMultilevel"/>
    <w:name w:val="Lista numerada 3"/>
    <w:lvl w:ilvl="0">
      <w:start w:val="1"/>
      <w:numFmt w:val="decimal"/>
      <w:suff w:val="tab"/>
      <w:lvlText w:val="%1."/>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4">
    <w:multiLevelType w:val="hybridMultilevel"/>
    <w:lvl w:ilvl="0">
      <w:start w:val="1"/>
      <w:numFmt w:val="decimal"/>
      <w:suff w:val="tab"/>
      <w:lvlText w:val="%1."/>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5">
    <w:multiLevelType w:val="hybridMultilevel"/>
    <w:lvl w:ilvl="0">
      <w:numFmt w:val="bullet"/>
      <w:suff w:val="tab"/>
      <w:lvlText w:val="•"/>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3"/>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673510"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0"/>
        <w:szCs w:val="20"/>
        <w:lang w:val="es-e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rPr>
  </w:style>
  <w:style w:type="paragraph" w:styleId="para2">
    <w:name w:val="heading 1"/>
    <w:qFormat/>
    <w:rPr>
      <w:rFonts w:ascii="Arial" w:hAnsi="Arial" w:eastAsia="Arial" w:cs="Arial"/>
      <w:color w:val="2e74b5"/>
      <w:sz w:val="32"/>
      <w:szCs w:val="32"/>
    </w:rPr>
  </w:style>
  <w:style w:type="paragraph" w:styleId="para3">
    <w:name w:val="heading 2"/>
    <w:qFormat/>
    <w:rPr>
      <w:rFonts w:ascii="Arial" w:hAnsi="Arial" w:eastAsia="Arial" w:cs="Arial"/>
      <w:color w:val="2e74b5"/>
      <w:sz w:val="26"/>
      <w:szCs w:val="26"/>
    </w:rPr>
  </w:style>
  <w:style w:type="paragraph" w:styleId="para4">
    <w:name w:val="heading 3"/>
    <w:qFormat/>
    <w:rPr>
      <w:rFonts w:ascii="Arial" w:hAnsi="Arial" w:eastAsia="Arial" w:cs="Arial"/>
      <w:color w:val="1f4d78"/>
      <w:sz w:val="24"/>
      <w:szCs w:val="24"/>
    </w:rPr>
  </w:style>
  <w:style w:type="paragraph" w:styleId="para5">
    <w:name w:val="heading 4"/>
    <w:qFormat/>
    <w:rPr>
      <w:rFonts w:ascii="Arial" w:hAnsi="Arial" w:eastAsia="Arial" w:cs="Arial"/>
      <w:i/>
      <w:iCs/>
      <w:color w:val="2e74b5"/>
    </w:rPr>
  </w:style>
  <w:style w:type="paragraph" w:styleId="para6">
    <w:name w:val="heading 5"/>
    <w:qFormat/>
    <w:rPr>
      <w:rFonts w:ascii="Arial" w:hAnsi="Arial" w:eastAsia="Arial" w:cs="Arial"/>
      <w:color w:val="2e74b5"/>
    </w:rPr>
  </w:style>
  <w:style w:type="paragraph" w:styleId="para7">
    <w:name w:val="heading 6"/>
    <w:qFormat/>
    <w:rPr>
      <w:rFonts w:ascii="Arial" w:hAnsi="Arial" w:eastAsia="Arial" w:cs="Arial"/>
      <w:color w:val="1f4d78"/>
    </w:rPr>
  </w:style>
  <w:style w:type="paragraph" w:styleId="para8" w:customStyle="1">
    <w:name w:val="Texto en negrita"/>
    <w:qFormat/>
    <w:rPr>
      <w:rFonts w:ascii="Arial" w:hAnsi="Arial" w:eastAsia="Arial" w:cs="Arial"/>
      <w:b/>
      <w:bCs/>
    </w:rPr>
  </w:style>
  <w:style w:type="paragraph" w:styleId="para9">
    <w:name w:val="List Paragraph"/>
    <w:qFormat/>
    <w:rPr>
      <w:rFonts w:ascii="Arial" w:hAnsi="Arial" w:eastAsia="Arial" w:cs="Arial"/>
    </w:rPr>
  </w:style>
  <w:style w:type="paragraph" w:styleId="para10">
    <w:name w:val="Footnote Text"/>
    <w:qFormat/>
    <w:rPr>
      <w:rFonts w:ascii="Arial" w:hAnsi="Arial" w:eastAsia="Arial" w:cs="Arial"/>
    </w:rPr>
  </w:style>
  <w:style w:type="paragraph" w:styleId="para11">
    <w:name w:val="Endnote Text"/>
    <w:qFormat/>
    <w:rPr>
      <w:rFonts w:ascii="Arial" w:hAnsi="Arial" w:eastAsia="Arial" w:cs="Arial"/>
    </w:rPr>
  </w:style>
  <w:style w:type="paragraph" w:styleId="para12" w:customStyle="1">
    <w:name w:val="Heading 1"/>
    <w:qFormat/>
    <w:pPr>
      <w:spacing w:before="360" w:after="180"/>
      <w:outlineLvl w:val="0"/>
    </w:pPr>
    <w:rPr>
      <w:rFonts w:ascii="Arial" w:hAnsi="Arial" w:eastAsia="Arial" w:cs="Arial"/>
      <w:b/>
      <w:bCs/>
      <w:color w:val="1b2b4b"/>
      <w:sz w:val="32"/>
      <w:szCs w:val="32"/>
    </w:rPr>
  </w:style>
  <w:style w:type="paragraph" w:styleId="para13" w:customStyle="1">
    <w:name w:val="Heading 2"/>
    <w:qFormat/>
    <w:pPr>
      <w:spacing w:before="280" w:after="140"/>
      <w:outlineLvl w:val="1"/>
    </w:pPr>
    <w:rPr>
      <w:rFonts w:ascii="Arial" w:hAnsi="Arial" w:eastAsia="Arial" w:cs="Arial"/>
      <w:b/>
      <w:bCs/>
      <w:color w:val="2d5fa0"/>
      <w:sz w:val="26"/>
      <w:szCs w:val="26"/>
    </w:rPr>
  </w:style>
  <w:style w:type="paragraph" w:styleId="para14" w:customStyle="1">
    <w:name w:val="Heading 3"/>
    <w:qFormat/>
    <w:pPr>
      <w:spacing w:before="200" w:after="100"/>
      <w:outlineLvl w:val="2"/>
    </w:pPr>
    <w:rPr>
      <w:rFonts w:ascii="Arial" w:hAnsi="Arial" w:eastAsia="Arial" w:cs="Arial"/>
      <w:b/>
      <w:bCs/>
      <w:color w:val="1a1a2e"/>
      <w:sz w:val="22"/>
      <w:szCs w:val="22"/>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0"/>
        <w:szCs w:val="20"/>
        <w:lang w:val="es-e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rPr>
  </w:style>
  <w:style w:type="paragraph" w:styleId="para2">
    <w:name w:val="heading 1"/>
    <w:qFormat/>
    <w:rPr>
      <w:rFonts w:ascii="Arial" w:hAnsi="Arial" w:eastAsia="Arial" w:cs="Arial"/>
      <w:color w:val="2e74b5"/>
      <w:sz w:val="32"/>
      <w:szCs w:val="32"/>
    </w:rPr>
  </w:style>
  <w:style w:type="paragraph" w:styleId="para3">
    <w:name w:val="heading 2"/>
    <w:qFormat/>
    <w:rPr>
      <w:rFonts w:ascii="Arial" w:hAnsi="Arial" w:eastAsia="Arial" w:cs="Arial"/>
      <w:color w:val="2e74b5"/>
      <w:sz w:val="26"/>
      <w:szCs w:val="26"/>
    </w:rPr>
  </w:style>
  <w:style w:type="paragraph" w:styleId="para4">
    <w:name w:val="heading 3"/>
    <w:qFormat/>
    <w:rPr>
      <w:rFonts w:ascii="Arial" w:hAnsi="Arial" w:eastAsia="Arial" w:cs="Arial"/>
      <w:color w:val="1f4d78"/>
      <w:sz w:val="24"/>
      <w:szCs w:val="24"/>
    </w:rPr>
  </w:style>
  <w:style w:type="paragraph" w:styleId="para5">
    <w:name w:val="heading 4"/>
    <w:qFormat/>
    <w:rPr>
      <w:rFonts w:ascii="Arial" w:hAnsi="Arial" w:eastAsia="Arial" w:cs="Arial"/>
      <w:i/>
      <w:iCs/>
      <w:color w:val="2e74b5"/>
    </w:rPr>
  </w:style>
  <w:style w:type="paragraph" w:styleId="para6">
    <w:name w:val="heading 5"/>
    <w:qFormat/>
    <w:rPr>
      <w:rFonts w:ascii="Arial" w:hAnsi="Arial" w:eastAsia="Arial" w:cs="Arial"/>
      <w:color w:val="2e74b5"/>
    </w:rPr>
  </w:style>
  <w:style w:type="paragraph" w:styleId="para7">
    <w:name w:val="heading 6"/>
    <w:qFormat/>
    <w:rPr>
      <w:rFonts w:ascii="Arial" w:hAnsi="Arial" w:eastAsia="Arial" w:cs="Arial"/>
      <w:color w:val="1f4d78"/>
    </w:rPr>
  </w:style>
  <w:style w:type="paragraph" w:styleId="para8" w:customStyle="1">
    <w:name w:val="Texto en negrita"/>
    <w:qFormat/>
    <w:rPr>
      <w:rFonts w:ascii="Arial" w:hAnsi="Arial" w:eastAsia="Arial" w:cs="Arial"/>
      <w:b/>
      <w:bCs/>
    </w:rPr>
  </w:style>
  <w:style w:type="paragraph" w:styleId="para9">
    <w:name w:val="List Paragraph"/>
    <w:qFormat/>
    <w:rPr>
      <w:rFonts w:ascii="Arial" w:hAnsi="Arial" w:eastAsia="Arial" w:cs="Arial"/>
    </w:rPr>
  </w:style>
  <w:style w:type="paragraph" w:styleId="para10">
    <w:name w:val="Footnote Text"/>
    <w:qFormat/>
    <w:rPr>
      <w:rFonts w:ascii="Arial" w:hAnsi="Arial" w:eastAsia="Arial" w:cs="Arial"/>
    </w:rPr>
  </w:style>
  <w:style w:type="paragraph" w:styleId="para11">
    <w:name w:val="Endnote Text"/>
    <w:qFormat/>
    <w:rPr>
      <w:rFonts w:ascii="Arial" w:hAnsi="Arial" w:eastAsia="Arial" w:cs="Arial"/>
    </w:rPr>
  </w:style>
  <w:style w:type="paragraph" w:styleId="para12" w:customStyle="1">
    <w:name w:val="Heading 1"/>
    <w:qFormat/>
    <w:pPr>
      <w:spacing w:before="360" w:after="180"/>
      <w:outlineLvl w:val="0"/>
    </w:pPr>
    <w:rPr>
      <w:rFonts w:ascii="Arial" w:hAnsi="Arial" w:eastAsia="Arial" w:cs="Arial"/>
      <w:b/>
      <w:bCs/>
      <w:color w:val="1b2b4b"/>
      <w:sz w:val="32"/>
      <w:szCs w:val="32"/>
    </w:rPr>
  </w:style>
  <w:style w:type="paragraph" w:styleId="para13" w:customStyle="1">
    <w:name w:val="Heading 2"/>
    <w:qFormat/>
    <w:pPr>
      <w:spacing w:before="280" w:after="140"/>
      <w:outlineLvl w:val="1"/>
    </w:pPr>
    <w:rPr>
      <w:rFonts w:ascii="Arial" w:hAnsi="Arial" w:eastAsia="Arial" w:cs="Arial"/>
      <w:b/>
      <w:bCs/>
      <w:color w:val="2d5fa0"/>
      <w:sz w:val="26"/>
      <w:szCs w:val="26"/>
    </w:rPr>
  </w:style>
  <w:style w:type="paragraph" w:styleId="para14" w:customStyle="1">
    <w:name w:val="Heading 3"/>
    <w:qFormat/>
    <w:pPr>
      <w:spacing w:before="200" w:after="100"/>
      <w:outlineLvl w:val="2"/>
    </w:pPr>
    <w:rPr>
      <w:rFonts w:ascii="Arial" w:hAnsi="Arial" w:eastAsia="Arial" w:cs="Arial"/>
      <w:b/>
      <w:bCs/>
      <w:color w:val="1a1a2e"/>
      <w:sz w:val="22"/>
      <w:szCs w:val="22"/>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Un-named</cp:lastModifiedBy>
  <cp:revision>2</cp:revision>
  <dcterms:created xsi:type="dcterms:W3CDTF">2026-03-16T15:05:10Z</dcterms:created>
  <dcterms:modified xsi:type="dcterms:W3CDTF">2026-03-16T15:05:10Z</dcterms:modified>
</cp:coreProperties>
</file>