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91" w:rsidRDefault="00A270B3" w:rsidP="00A270B3">
      <w:pPr>
        <w:pStyle w:val="NoSpacing"/>
        <w:rPr>
          <w:lang w:val="en-US"/>
        </w:rPr>
      </w:pPr>
      <w:r w:rsidRPr="00367F23">
        <w:rPr>
          <w:rStyle w:val="Heading1Char"/>
          <w:lang w:val="en-US"/>
        </w:rPr>
        <w:t>SrBox-2020 Manual</w:t>
      </w:r>
      <w:r>
        <w:rPr>
          <w:lang w:val="en-US"/>
        </w:rPr>
        <w:br/>
      </w:r>
    </w:p>
    <w:p w:rsidR="00F60A91" w:rsidRDefault="00F60A91" w:rsidP="00A270B3">
      <w:pPr>
        <w:pStyle w:val="NoSpacing"/>
        <w:rPr>
          <w:lang w:val="en-US"/>
        </w:rPr>
      </w:pPr>
    </w:p>
    <w:p w:rsidR="00F60A91" w:rsidRDefault="00F60A91" w:rsidP="00A270B3">
      <w:pPr>
        <w:pStyle w:val="NoSpacing"/>
        <w:rPr>
          <w:lang w:val="en-US"/>
        </w:rPr>
      </w:pPr>
      <w:r w:rsidRPr="00367F23">
        <w:rPr>
          <w:rStyle w:val="Heading2Char"/>
          <w:lang w:val="en-US"/>
        </w:rPr>
        <w:t>Response Buttons</w:t>
      </w:r>
      <w:r>
        <w:rPr>
          <w:lang w:val="en-US"/>
        </w:rPr>
        <w:br/>
        <w:t>The response</w:t>
      </w:r>
      <w:r w:rsidR="00C65DE4">
        <w:rPr>
          <w:lang w:val="en-US"/>
        </w:rPr>
        <w:t>s</w:t>
      </w:r>
      <w:r>
        <w:rPr>
          <w:lang w:val="en-US"/>
        </w:rPr>
        <w:t xml:space="preserve"> from the response buttons will be a keyboard event.</w:t>
      </w:r>
      <w:r>
        <w:rPr>
          <w:lang w:val="en-US"/>
        </w:rPr>
        <w:br/>
        <w:t xml:space="preserve">For Button1 </w:t>
      </w:r>
      <w:r w:rsidRPr="00F60A91">
        <w:rPr>
          <w:color w:val="538135" w:themeColor="accent6" w:themeShade="BF"/>
          <w:lang w:val="en-US"/>
        </w:rPr>
        <w:t>1</w:t>
      </w:r>
      <w:r>
        <w:rPr>
          <w:lang w:val="en-US"/>
        </w:rPr>
        <w:t xml:space="preserve">, for button 2 </w:t>
      </w:r>
      <w:r w:rsidRPr="00F60A91">
        <w:rPr>
          <w:color w:val="538135" w:themeColor="accent6" w:themeShade="BF"/>
          <w:lang w:val="en-US"/>
        </w:rPr>
        <w:t>2</w:t>
      </w:r>
      <w:r w:rsidR="00B97444">
        <w:rPr>
          <w:lang w:val="en-US"/>
        </w:rPr>
        <w:t xml:space="preserve"> etc.</w:t>
      </w:r>
      <w:r>
        <w:rPr>
          <w:lang w:val="en-US"/>
        </w:rPr>
        <w:br/>
        <w:t>There</w:t>
      </w:r>
      <w:r w:rsidR="00B97444">
        <w:rPr>
          <w:lang w:val="en-US"/>
        </w:rPr>
        <w:t xml:space="preserve"> are</w:t>
      </w:r>
      <w:r>
        <w:rPr>
          <w:lang w:val="en-US"/>
        </w:rPr>
        <w:t xml:space="preserve"> only event</w:t>
      </w:r>
      <w:r w:rsidR="00B97444">
        <w:rPr>
          <w:lang w:val="en-US"/>
        </w:rPr>
        <w:t>s</w:t>
      </w:r>
      <w:r>
        <w:rPr>
          <w:lang w:val="en-US"/>
        </w:rPr>
        <w:t xml:space="preserve"> on button press, not for button release.</w:t>
      </w:r>
      <w:r w:rsidR="00A270B3">
        <w:rPr>
          <w:lang w:val="en-US"/>
        </w:rPr>
        <w:br/>
      </w:r>
      <w:r>
        <w:rPr>
          <w:lang w:val="en-US"/>
        </w:rPr>
        <w:t xml:space="preserve">Markers for </w:t>
      </w:r>
      <w:proofErr w:type="spellStart"/>
      <w:r>
        <w:rPr>
          <w:lang w:val="en-US"/>
        </w:rPr>
        <w:t>Biosemi</w:t>
      </w:r>
      <w:proofErr w:type="spellEnd"/>
      <w:r>
        <w:rPr>
          <w:lang w:val="en-US"/>
        </w:rPr>
        <w:t xml:space="preserve"> will be D8 for button1 , D9 for button 2 etc</w:t>
      </w:r>
      <w:r w:rsidR="00B97444">
        <w:rPr>
          <w:lang w:val="en-US"/>
        </w:rPr>
        <w:t>.</w:t>
      </w:r>
    </w:p>
    <w:tbl>
      <w:tblPr>
        <w:tblStyle w:val="TableGrid"/>
        <w:tblW w:w="0" w:type="auto"/>
        <w:tblLook w:val="04A0" w:firstRow="1" w:lastRow="0" w:firstColumn="1" w:lastColumn="0" w:noHBand="0" w:noVBand="1"/>
      </w:tblPr>
      <w:tblGrid>
        <w:gridCol w:w="846"/>
        <w:gridCol w:w="1701"/>
        <w:gridCol w:w="1843"/>
      </w:tblGrid>
      <w:tr w:rsidR="00F60A91" w:rsidTr="00F60A91">
        <w:tc>
          <w:tcPr>
            <w:tcW w:w="846" w:type="dxa"/>
            <w:tcBorders>
              <w:right w:val="double" w:sz="4" w:space="0" w:color="5B9BD5" w:themeColor="accent1"/>
            </w:tcBorders>
          </w:tcPr>
          <w:p w:rsidR="00F60A91" w:rsidRDefault="00F60A91" w:rsidP="00A270B3">
            <w:pPr>
              <w:pStyle w:val="NoSpacing"/>
              <w:rPr>
                <w:lang w:val="en-US"/>
              </w:rPr>
            </w:pPr>
            <w:r>
              <w:rPr>
                <w:lang w:val="en-US"/>
              </w:rPr>
              <w:t>Button</w:t>
            </w:r>
          </w:p>
        </w:tc>
        <w:tc>
          <w:tcPr>
            <w:tcW w:w="1701" w:type="dxa"/>
            <w:tcBorders>
              <w:left w:val="double" w:sz="4" w:space="0" w:color="5B9BD5" w:themeColor="accent1"/>
              <w:right w:val="double" w:sz="4" w:space="0" w:color="5B9BD5" w:themeColor="accent1"/>
            </w:tcBorders>
          </w:tcPr>
          <w:p w:rsidR="00F60A91" w:rsidRDefault="00F60A91" w:rsidP="00A270B3">
            <w:pPr>
              <w:pStyle w:val="NoSpacing"/>
              <w:rPr>
                <w:lang w:val="en-US"/>
              </w:rPr>
            </w:pPr>
            <w:r>
              <w:rPr>
                <w:lang w:val="en-US"/>
              </w:rPr>
              <w:t>Keyboard event</w:t>
            </w:r>
          </w:p>
        </w:tc>
        <w:tc>
          <w:tcPr>
            <w:tcW w:w="1843" w:type="dxa"/>
            <w:tcBorders>
              <w:left w:val="double" w:sz="4" w:space="0" w:color="5B9BD5" w:themeColor="accent1"/>
            </w:tcBorders>
          </w:tcPr>
          <w:p w:rsidR="00F60A91" w:rsidRDefault="00F60A91" w:rsidP="00A270B3">
            <w:pPr>
              <w:pStyle w:val="NoSpacing"/>
              <w:rPr>
                <w:lang w:val="en-US"/>
              </w:rPr>
            </w:pPr>
            <w:proofErr w:type="spellStart"/>
            <w:r>
              <w:rPr>
                <w:lang w:val="en-US"/>
              </w:rPr>
              <w:t>Biosemi</w:t>
            </w:r>
            <w:proofErr w:type="spellEnd"/>
            <w:r>
              <w:rPr>
                <w:lang w:val="en-US"/>
              </w:rPr>
              <w:t xml:space="preserve"> marker</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1</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1</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D8</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2</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2</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D9</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3</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3</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D10</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4</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4</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D11</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5</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5</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D12</w:t>
            </w:r>
          </w:p>
        </w:tc>
      </w:tr>
      <w:tr w:rsidR="00F60A91" w:rsidTr="00F60A91">
        <w:tc>
          <w:tcPr>
            <w:tcW w:w="846" w:type="dxa"/>
            <w:tcBorders>
              <w:right w:val="double" w:sz="4" w:space="0" w:color="5B9BD5" w:themeColor="accent1"/>
            </w:tcBorders>
          </w:tcPr>
          <w:p w:rsidR="00F60A91" w:rsidRDefault="00F60A91" w:rsidP="00BB1597">
            <w:pPr>
              <w:pStyle w:val="NoSpacing"/>
              <w:jc w:val="center"/>
              <w:rPr>
                <w:lang w:val="en-US"/>
              </w:rPr>
            </w:pPr>
            <w:r>
              <w:rPr>
                <w:lang w:val="en-US"/>
              </w:rPr>
              <w:t>6</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6</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D13</w:t>
            </w:r>
          </w:p>
        </w:tc>
      </w:tr>
      <w:tr w:rsidR="00F60A91" w:rsidTr="00F60A91">
        <w:tc>
          <w:tcPr>
            <w:tcW w:w="846" w:type="dxa"/>
            <w:tcBorders>
              <w:right w:val="double" w:sz="4" w:space="0" w:color="5B9BD5" w:themeColor="accent1"/>
            </w:tcBorders>
          </w:tcPr>
          <w:p w:rsidR="00F60A91" w:rsidRDefault="00BB1597" w:rsidP="00BB1597">
            <w:pPr>
              <w:pStyle w:val="NoSpacing"/>
              <w:jc w:val="center"/>
              <w:rPr>
                <w:lang w:val="en-US"/>
              </w:rPr>
            </w:pPr>
            <w:r>
              <w:rPr>
                <w:lang w:val="en-US"/>
              </w:rPr>
              <w:t>7</w:t>
            </w:r>
          </w:p>
        </w:tc>
        <w:tc>
          <w:tcPr>
            <w:tcW w:w="1701" w:type="dxa"/>
            <w:tcBorders>
              <w:left w:val="double" w:sz="4" w:space="0" w:color="5B9BD5" w:themeColor="accent1"/>
              <w:right w:val="double" w:sz="4" w:space="0" w:color="5B9BD5" w:themeColor="accent1"/>
            </w:tcBorders>
          </w:tcPr>
          <w:p w:rsidR="00F60A91" w:rsidRDefault="00BB1597" w:rsidP="00BB1597">
            <w:pPr>
              <w:pStyle w:val="NoSpacing"/>
              <w:jc w:val="center"/>
              <w:rPr>
                <w:lang w:val="en-US"/>
              </w:rPr>
            </w:pPr>
            <w:r>
              <w:rPr>
                <w:lang w:val="en-US"/>
              </w:rPr>
              <w:t>7</w:t>
            </w:r>
          </w:p>
        </w:tc>
        <w:tc>
          <w:tcPr>
            <w:tcW w:w="1843" w:type="dxa"/>
            <w:tcBorders>
              <w:left w:val="double" w:sz="4" w:space="0" w:color="5B9BD5" w:themeColor="accent1"/>
            </w:tcBorders>
          </w:tcPr>
          <w:p w:rsidR="00F60A91" w:rsidRDefault="00BB1597" w:rsidP="00BB1597">
            <w:pPr>
              <w:pStyle w:val="NoSpacing"/>
              <w:jc w:val="center"/>
              <w:rPr>
                <w:lang w:val="en-US"/>
              </w:rPr>
            </w:pPr>
            <w:r>
              <w:rPr>
                <w:lang w:val="en-US"/>
              </w:rPr>
              <w:t>D14</w:t>
            </w:r>
          </w:p>
        </w:tc>
      </w:tr>
      <w:tr w:rsidR="00BB1597" w:rsidTr="00F60A91">
        <w:tc>
          <w:tcPr>
            <w:tcW w:w="846" w:type="dxa"/>
            <w:tcBorders>
              <w:right w:val="double" w:sz="4" w:space="0" w:color="5B9BD5" w:themeColor="accent1"/>
            </w:tcBorders>
          </w:tcPr>
          <w:p w:rsidR="00BB1597" w:rsidRDefault="00BB1597" w:rsidP="00BB1597">
            <w:pPr>
              <w:pStyle w:val="NoSpacing"/>
              <w:jc w:val="center"/>
              <w:rPr>
                <w:lang w:val="en-US"/>
              </w:rPr>
            </w:pPr>
            <w:r>
              <w:rPr>
                <w:lang w:val="en-US"/>
              </w:rPr>
              <w:t>8</w:t>
            </w:r>
          </w:p>
        </w:tc>
        <w:tc>
          <w:tcPr>
            <w:tcW w:w="1701" w:type="dxa"/>
            <w:tcBorders>
              <w:left w:val="double" w:sz="4" w:space="0" w:color="5B9BD5" w:themeColor="accent1"/>
              <w:right w:val="double" w:sz="4" w:space="0" w:color="5B9BD5" w:themeColor="accent1"/>
            </w:tcBorders>
          </w:tcPr>
          <w:p w:rsidR="00BB1597" w:rsidRDefault="00BB1597" w:rsidP="00BB1597">
            <w:pPr>
              <w:pStyle w:val="NoSpacing"/>
              <w:jc w:val="center"/>
              <w:rPr>
                <w:lang w:val="en-US"/>
              </w:rPr>
            </w:pPr>
            <w:r>
              <w:rPr>
                <w:lang w:val="en-US"/>
              </w:rPr>
              <w:t>8</w:t>
            </w:r>
          </w:p>
        </w:tc>
        <w:tc>
          <w:tcPr>
            <w:tcW w:w="1843" w:type="dxa"/>
            <w:tcBorders>
              <w:left w:val="double" w:sz="4" w:space="0" w:color="5B9BD5" w:themeColor="accent1"/>
            </w:tcBorders>
          </w:tcPr>
          <w:p w:rsidR="00BB1597" w:rsidRDefault="00BB1597" w:rsidP="00BB1597">
            <w:pPr>
              <w:pStyle w:val="NoSpacing"/>
              <w:jc w:val="center"/>
              <w:rPr>
                <w:lang w:val="en-US"/>
              </w:rPr>
            </w:pPr>
            <w:r>
              <w:rPr>
                <w:lang w:val="en-US"/>
              </w:rPr>
              <w:t>D15</w:t>
            </w:r>
          </w:p>
        </w:tc>
      </w:tr>
    </w:tbl>
    <w:p w:rsidR="001A48BD" w:rsidRDefault="00A270B3" w:rsidP="00A270B3">
      <w:pPr>
        <w:pStyle w:val="NoSpacing"/>
        <w:rPr>
          <w:lang w:val="en-US"/>
        </w:rPr>
      </w:pPr>
      <w:r>
        <w:rPr>
          <w:lang w:val="en-US"/>
        </w:rPr>
        <w:br/>
      </w:r>
      <w:r w:rsidR="001A48BD" w:rsidRPr="005A1E3F">
        <w:rPr>
          <w:rStyle w:val="Heading2Char"/>
          <w:lang w:val="en-US"/>
        </w:rPr>
        <w:t xml:space="preserve">Passive/Active </w:t>
      </w:r>
      <w:r w:rsidR="00F2563B">
        <w:rPr>
          <w:rStyle w:val="Heading2Char"/>
          <w:lang w:val="en-US"/>
        </w:rPr>
        <w:t xml:space="preserve">data </w:t>
      </w:r>
      <w:r w:rsidR="001A48BD" w:rsidRPr="005A1E3F">
        <w:rPr>
          <w:rStyle w:val="Heading2Char"/>
          <w:lang w:val="en-US"/>
        </w:rPr>
        <w:t>mode</w:t>
      </w:r>
      <w:r w:rsidR="005A1E3F">
        <w:rPr>
          <w:lang w:val="en-US"/>
        </w:rPr>
        <w:br/>
        <w:t xml:space="preserve">The </w:t>
      </w:r>
      <w:r w:rsidR="001A48BD">
        <w:rPr>
          <w:lang w:val="en-US"/>
        </w:rPr>
        <w:t xml:space="preserve">SrBox2020 can operate in passive or active </w:t>
      </w:r>
      <w:r w:rsidR="00F2563B">
        <w:rPr>
          <w:lang w:val="en-US"/>
        </w:rPr>
        <w:t xml:space="preserve">data </w:t>
      </w:r>
      <w:r w:rsidR="001A48BD">
        <w:rPr>
          <w:lang w:val="en-US"/>
        </w:rPr>
        <w:t>mode.</w:t>
      </w:r>
    </w:p>
    <w:p w:rsidR="001A48BD" w:rsidRDefault="001A48BD" w:rsidP="00A270B3">
      <w:pPr>
        <w:pStyle w:val="NoSpacing"/>
        <w:rPr>
          <w:lang w:val="en-US"/>
        </w:rPr>
      </w:pPr>
      <w:r>
        <w:rPr>
          <w:lang w:val="en-US"/>
        </w:rPr>
        <w:t xml:space="preserve">The main difference is that in active </w:t>
      </w:r>
      <w:r w:rsidR="00F2563B">
        <w:rPr>
          <w:lang w:val="en-US"/>
        </w:rPr>
        <w:t xml:space="preserve">data </w:t>
      </w:r>
      <w:r>
        <w:rPr>
          <w:lang w:val="en-US"/>
        </w:rPr>
        <w:t>mode the</w:t>
      </w:r>
      <w:r w:rsidR="00B97444">
        <w:rPr>
          <w:lang w:val="en-US"/>
        </w:rPr>
        <w:t xml:space="preserve"> </w:t>
      </w:r>
      <w:proofErr w:type="spellStart"/>
      <w:r w:rsidR="005A1E3F">
        <w:rPr>
          <w:lang w:val="en-US"/>
        </w:rPr>
        <w:t>B</w:t>
      </w:r>
      <w:r w:rsidR="00B97444">
        <w:rPr>
          <w:lang w:val="en-US"/>
        </w:rPr>
        <w:t>iopac</w:t>
      </w:r>
      <w:proofErr w:type="spellEnd"/>
      <w:r>
        <w:rPr>
          <w:lang w:val="en-US"/>
        </w:rPr>
        <w:t xml:space="preserve"> connector is </w:t>
      </w:r>
      <w:r w:rsidRPr="001A48BD">
        <w:rPr>
          <w:b/>
          <w:lang w:val="en-US"/>
        </w:rPr>
        <w:t>output</w:t>
      </w:r>
      <w:r w:rsidR="005A1E3F">
        <w:rPr>
          <w:b/>
          <w:lang w:val="en-US"/>
        </w:rPr>
        <w:t xml:space="preserve"> </w:t>
      </w:r>
      <w:r w:rsidR="005A1E3F" w:rsidRPr="005A1E3F">
        <w:rPr>
          <w:lang w:val="en-US"/>
        </w:rPr>
        <w:t>for markers</w:t>
      </w:r>
      <w:r>
        <w:rPr>
          <w:lang w:val="en-US"/>
        </w:rPr>
        <w:t xml:space="preserve">. In passive </w:t>
      </w:r>
      <w:r w:rsidR="00F2563B">
        <w:rPr>
          <w:lang w:val="en-US"/>
        </w:rPr>
        <w:t xml:space="preserve">data </w:t>
      </w:r>
      <w:r>
        <w:rPr>
          <w:lang w:val="en-US"/>
        </w:rPr>
        <w:t xml:space="preserve">mode the </w:t>
      </w:r>
      <w:proofErr w:type="spellStart"/>
      <w:r>
        <w:rPr>
          <w:lang w:val="en-US"/>
        </w:rPr>
        <w:t>Biopac</w:t>
      </w:r>
      <w:proofErr w:type="spellEnd"/>
      <w:r>
        <w:rPr>
          <w:lang w:val="en-US"/>
        </w:rPr>
        <w:t xml:space="preserve"> connector is </w:t>
      </w:r>
      <w:r w:rsidRPr="001A48BD">
        <w:rPr>
          <w:b/>
          <w:lang w:val="en-US"/>
        </w:rPr>
        <w:t>input</w:t>
      </w:r>
      <w:r>
        <w:rPr>
          <w:lang w:val="en-US"/>
        </w:rPr>
        <w:t>.</w:t>
      </w:r>
      <w:r>
        <w:rPr>
          <w:lang w:val="en-US"/>
        </w:rPr>
        <w:br/>
        <w:t xml:space="preserve">Active </w:t>
      </w:r>
      <w:r w:rsidR="00F2563B">
        <w:rPr>
          <w:lang w:val="en-US"/>
        </w:rPr>
        <w:t xml:space="preserve">data </w:t>
      </w:r>
      <w:r>
        <w:rPr>
          <w:lang w:val="en-US"/>
        </w:rPr>
        <w:t>mod</w:t>
      </w:r>
      <w:r w:rsidR="005A1E3F">
        <w:rPr>
          <w:lang w:val="en-US"/>
        </w:rPr>
        <w:t>e is the normal operation mode</w:t>
      </w:r>
      <w:r w:rsidR="00B97444">
        <w:rPr>
          <w:lang w:val="en-US"/>
        </w:rPr>
        <w:t>,</w:t>
      </w:r>
      <w:r>
        <w:rPr>
          <w:lang w:val="en-US"/>
        </w:rPr>
        <w:t xml:space="preserve"> most of the time used.</w:t>
      </w:r>
      <w:r>
        <w:rPr>
          <w:lang w:val="en-US"/>
        </w:rPr>
        <w:br/>
      </w:r>
      <w:r w:rsidR="005A1E3F" w:rsidRPr="00367F23">
        <w:rPr>
          <w:rStyle w:val="IntenseEmphasis"/>
          <w:lang w:val="en-US"/>
        </w:rPr>
        <w:t xml:space="preserve">Active </w:t>
      </w:r>
      <w:r w:rsidR="00F2563B">
        <w:rPr>
          <w:rStyle w:val="IntenseEmphasis"/>
          <w:lang w:val="en-US"/>
        </w:rPr>
        <w:t xml:space="preserve">data </w:t>
      </w:r>
      <w:r w:rsidR="005A1E3F" w:rsidRPr="00367F23">
        <w:rPr>
          <w:rStyle w:val="IntenseEmphasis"/>
          <w:lang w:val="en-US"/>
        </w:rPr>
        <w:t>Mode:</w:t>
      </w:r>
      <w:r w:rsidR="005A1E3F">
        <w:rPr>
          <w:lang w:val="en-US"/>
        </w:rPr>
        <w:br/>
      </w:r>
      <w:r>
        <w:rPr>
          <w:lang w:val="en-US"/>
        </w:rPr>
        <w:t xml:space="preserve">All markers received over the serial </w:t>
      </w:r>
      <w:proofErr w:type="spellStart"/>
      <w:r>
        <w:rPr>
          <w:lang w:val="en-US"/>
        </w:rPr>
        <w:t>usb</w:t>
      </w:r>
      <w:proofErr w:type="spellEnd"/>
      <w:r>
        <w:rPr>
          <w:lang w:val="en-US"/>
        </w:rPr>
        <w:t xml:space="preserve"> port will be set on the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 xml:space="preserve"> connector.</w:t>
      </w:r>
      <w:r>
        <w:rPr>
          <w:lang w:val="en-US"/>
        </w:rPr>
        <w:br/>
        <w:t xml:space="preserve">The SrBox2020 will set the </w:t>
      </w:r>
      <w:r w:rsidR="005A1E3F">
        <w:rPr>
          <w:lang w:val="en-US"/>
        </w:rPr>
        <w:t>value</w:t>
      </w:r>
      <w:r>
        <w:rPr>
          <w:lang w:val="en-US"/>
        </w:rPr>
        <w:t xml:space="preserve"> o</w:t>
      </w:r>
      <w:r w:rsidR="005A1E3F">
        <w:rPr>
          <w:lang w:val="en-US"/>
        </w:rPr>
        <w:t>ff</w:t>
      </w:r>
      <w:r>
        <w:rPr>
          <w:lang w:val="en-US"/>
        </w:rPr>
        <w:t xml:space="preserve"> the switches S0~7 on the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 xml:space="preserve"> connector when pressing the Trigger button.</w:t>
      </w:r>
    </w:p>
    <w:p w:rsidR="005A1E3F" w:rsidRDefault="005A1E3F" w:rsidP="00A270B3">
      <w:pPr>
        <w:pStyle w:val="NoSpacing"/>
        <w:rPr>
          <w:lang w:val="en-US"/>
        </w:rPr>
      </w:pPr>
      <w:r w:rsidRPr="00367F23">
        <w:rPr>
          <w:rStyle w:val="IntenseEmphasis"/>
          <w:lang w:val="en-US"/>
        </w:rPr>
        <w:t xml:space="preserve">Passive </w:t>
      </w:r>
      <w:r w:rsidR="00F2563B">
        <w:rPr>
          <w:rStyle w:val="IntenseEmphasis"/>
          <w:lang w:val="en-US"/>
        </w:rPr>
        <w:t xml:space="preserve">data </w:t>
      </w:r>
      <w:r w:rsidRPr="00367F23">
        <w:rPr>
          <w:rStyle w:val="IntenseEmphasis"/>
          <w:lang w:val="en-US"/>
        </w:rPr>
        <w:t>mode:</w:t>
      </w:r>
      <w:r>
        <w:rPr>
          <w:lang w:val="en-US"/>
        </w:rPr>
        <w:br/>
        <w:t xml:space="preserve">This mode can be handy when you still want to use the parallel port as marker source. The parallel port cable need to be connected to the </w:t>
      </w:r>
      <w:proofErr w:type="spellStart"/>
      <w:r>
        <w:rPr>
          <w:lang w:val="en-US"/>
        </w:rPr>
        <w:t>Biopac</w:t>
      </w:r>
      <w:proofErr w:type="spellEnd"/>
      <w:r>
        <w:rPr>
          <w:lang w:val="en-US"/>
        </w:rPr>
        <w:t xml:space="preserve"> connector. Received markers will be send to the </w:t>
      </w:r>
      <w:proofErr w:type="spellStart"/>
      <w:r>
        <w:rPr>
          <w:lang w:val="en-US"/>
        </w:rPr>
        <w:t>Biosemi</w:t>
      </w:r>
      <w:proofErr w:type="spellEnd"/>
      <w:r>
        <w:rPr>
          <w:lang w:val="en-US"/>
        </w:rPr>
        <w:t xml:space="preserve"> connector and will be shown on led D0~D7. </w:t>
      </w:r>
      <w:r>
        <w:rPr>
          <w:lang w:val="en-US"/>
        </w:rPr>
        <w:br/>
        <w:t xml:space="preserve">Received markers on serial </w:t>
      </w:r>
      <w:proofErr w:type="spellStart"/>
      <w:r>
        <w:rPr>
          <w:lang w:val="en-US"/>
        </w:rPr>
        <w:t>usb</w:t>
      </w:r>
      <w:proofErr w:type="spellEnd"/>
      <w:r>
        <w:rPr>
          <w:lang w:val="en-US"/>
        </w:rPr>
        <w:t xml:space="preserve"> port and markers generated with the S0~S7 will be ignored.</w:t>
      </w:r>
      <w:r w:rsidR="00AA6316">
        <w:rPr>
          <w:lang w:val="en-US"/>
        </w:rPr>
        <w:br/>
        <w:t>Passive mode will be indicated by the passive led.</w:t>
      </w:r>
    </w:p>
    <w:p w:rsidR="00A90DD5" w:rsidRDefault="00A270B3" w:rsidP="00A270B3">
      <w:pPr>
        <w:pStyle w:val="NoSpacing"/>
        <w:rPr>
          <w:color w:val="000000" w:themeColor="text1"/>
          <w:lang w:val="en-US"/>
        </w:rPr>
      </w:pPr>
      <w:r>
        <w:rPr>
          <w:lang w:val="en-US"/>
        </w:rPr>
        <w:br/>
      </w:r>
    </w:p>
    <w:p w:rsidR="00A90DD5" w:rsidRDefault="00A90DD5" w:rsidP="00A270B3">
      <w:pPr>
        <w:pStyle w:val="NoSpacing"/>
        <w:rPr>
          <w:lang w:val="en-US"/>
        </w:rPr>
      </w:pPr>
      <w:r w:rsidRPr="00367F23">
        <w:rPr>
          <w:rStyle w:val="Heading2Char"/>
          <w:lang w:val="en-US"/>
        </w:rPr>
        <w:t xml:space="preserve">Switch between passive and active </w:t>
      </w:r>
      <w:r w:rsidR="00F2563B">
        <w:rPr>
          <w:rStyle w:val="Heading2Char"/>
          <w:lang w:val="en-US"/>
        </w:rPr>
        <w:t xml:space="preserve">data </w:t>
      </w:r>
      <w:r w:rsidRPr="00367F23">
        <w:rPr>
          <w:rStyle w:val="Heading2Char"/>
          <w:lang w:val="en-US"/>
        </w:rPr>
        <w:t>mode</w:t>
      </w:r>
      <w:r>
        <w:rPr>
          <w:color w:val="000000" w:themeColor="text1"/>
          <w:lang w:val="en-US"/>
        </w:rPr>
        <w:br/>
      </w:r>
      <w:r>
        <w:rPr>
          <w:lang w:val="en-US"/>
        </w:rPr>
        <w:t xml:space="preserve">There are 3 </w:t>
      </w:r>
      <w:r w:rsidR="00B97444">
        <w:rPr>
          <w:lang w:val="en-US"/>
        </w:rPr>
        <w:t xml:space="preserve">possible </w:t>
      </w:r>
      <w:r>
        <w:rPr>
          <w:lang w:val="en-US"/>
        </w:rPr>
        <w:t xml:space="preserve">options to switch between the active and passive </w:t>
      </w:r>
      <w:r w:rsidR="00F2563B">
        <w:rPr>
          <w:lang w:val="en-US"/>
        </w:rPr>
        <w:t xml:space="preserve">data </w:t>
      </w:r>
      <w:r>
        <w:rPr>
          <w:lang w:val="en-US"/>
        </w:rPr>
        <w:t>mode.</w:t>
      </w:r>
    </w:p>
    <w:p w:rsidR="00A90DD5" w:rsidRDefault="00A90DD5" w:rsidP="00A270B3">
      <w:pPr>
        <w:pStyle w:val="NoSpacing"/>
        <w:rPr>
          <w:lang w:val="en-US"/>
        </w:rPr>
      </w:pPr>
      <w:r>
        <w:rPr>
          <w:lang w:val="en-US"/>
        </w:rPr>
        <w:t xml:space="preserve">-Hold down the trigger button during powering up the SrBox2020, the </w:t>
      </w:r>
      <w:r w:rsidR="00F2563B">
        <w:rPr>
          <w:lang w:val="en-US"/>
        </w:rPr>
        <w:t xml:space="preserve">data </w:t>
      </w:r>
      <w:r>
        <w:rPr>
          <w:lang w:val="en-US"/>
        </w:rPr>
        <w:t>mode will be toggled.</w:t>
      </w:r>
    </w:p>
    <w:p w:rsidR="00203ADF" w:rsidRDefault="00A90DD5" w:rsidP="00A270B3">
      <w:pPr>
        <w:pStyle w:val="NoSpacing"/>
        <w:rPr>
          <w:lang w:val="en-US"/>
        </w:rPr>
      </w:pPr>
      <w:r>
        <w:rPr>
          <w:lang w:val="en-US"/>
        </w:rPr>
        <w:t>-</w:t>
      </w:r>
      <w:r w:rsidR="00203ADF">
        <w:rPr>
          <w:lang w:val="en-US"/>
        </w:rPr>
        <w:t xml:space="preserve">Place the SrBox2020 in command mode and send an </w:t>
      </w:r>
      <w:r w:rsidR="00203ADF" w:rsidRPr="00B97444">
        <w:rPr>
          <w:b/>
          <w:lang w:val="en-US"/>
        </w:rPr>
        <w:t>S</w:t>
      </w:r>
      <w:r w:rsidR="00203ADF">
        <w:rPr>
          <w:lang w:val="en-US"/>
        </w:rPr>
        <w:t xml:space="preserve"> for passive </w:t>
      </w:r>
      <w:r w:rsidR="00F2563B">
        <w:rPr>
          <w:lang w:val="en-US"/>
        </w:rPr>
        <w:t xml:space="preserve">data </w:t>
      </w:r>
      <w:r w:rsidR="00203ADF">
        <w:rPr>
          <w:lang w:val="en-US"/>
        </w:rPr>
        <w:t xml:space="preserve">mode or </w:t>
      </w:r>
      <w:r w:rsidR="00203ADF" w:rsidRPr="00B97444">
        <w:rPr>
          <w:b/>
          <w:lang w:val="en-US"/>
        </w:rPr>
        <w:t>A</w:t>
      </w:r>
      <w:r w:rsidR="00203ADF">
        <w:rPr>
          <w:lang w:val="en-US"/>
        </w:rPr>
        <w:t xml:space="preserve"> for active </w:t>
      </w:r>
      <w:r w:rsidR="00F2563B">
        <w:rPr>
          <w:lang w:val="en-US"/>
        </w:rPr>
        <w:t xml:space="preserve">data </w:t>
      </w:r>
      <w:r w:rsidR="00203ADF">
        <w:rPr>
          <w:lang w:val="en-US"/>
        </w:rPr>
        <w:t>mode.</w:t>
      </w:r>
    </w:p>
    <w:p w:rsidR="00367F23" w:rsidRDefault="00203ADF" w:rsidP="00A270B3">
      <w:pPr>
        <w:pStyle w:val="NoSpacing"/>
        <w:rPr>
          <w:lang w:val="en-US"/>
        </w:rPr>
      </w:pPr>
      <w:r>
        <w:rPr>
          <w:lang w:val="en-US"/>
        </w:rPr>
        <w:t xml:space="preserve">-When the box detects during boot an high level on bit2 (0x04) it will switch to passive </w:t>
      </w:r>
      <w:r w:rsidR="00F2563B">
        <w:rPr>
          <w:lang w:val="en-US"/>
        </w:rPr>
        <w:t xml:space="preserve">data </w:t>
      </w:r>
      <w:r>
        <w:rPr>
          <w:lang w:val="en-US"/>
        </w:rPr>
        <w:t xml:space="preserve">mode. </w:t>
      </w:r>
      <w:r>
        <w:rPr>
          <w:lang w:val="en-US"/>
        </w:rPr>
        <w:br/>
        <w:t xml:space="preserve">Most parallel port will output bit2 high before initializing, if the SrBox202 will detect this it’s most         likely connected to an parallel port and will switch to input to protect itself. </w:t>
      </w:r>
      <w:r w:rsidR="00A90DD5">
        <w:rPr>
          <w:lang w:val="en-US"/>
        </w:rPr>
        <w:t xml:space="preserve"> </w:t>
      </w:r>
    </w:p>
    <w:p w:rsidR="00FF0EA0" w:rsidRDefault="00FF0EA0" w:rsidP="00A270B3">
      <w:pPr>
        <w:pStyle w:val="NoSpacing"/>
        <w:rPr>
          <w:lang w:val="en-US"/>
        </w:rPr>
      </w:pPr>
      <w:r>
        <w:rPr>
          <w:lang w:val="en-US"/>
        </w:rPr>
        <w:t>Passive mode will be indicated by the passive led</w:t>
      </w:r>
    </w:p>
    <w:p w:rsidR="00367F23" w:rsidRDefault="00367F23" w:rsidP="00A270B3">
      <w:pPr>
        <w:pStyle w:val="NoSpacing"/>
        <w:rPr>
          <w:lang w:val="en-US"/>
        </w:rPr>
      </w:pPr>
    </w:p>
    <w:p w:rsidR="00367F23" w:rsidRDefault="00367F23" w:rsidP="00A270B3">
      <w:pPr>
        <w:pStyle w:val="NoSpacing"/>
        <w:rPr>
          <w:lang w:val="en-US"/>
        </w:rPr>
      </w:pPr>
      <w:r w:rsidRPr="00367F23">
        <w:rPr>
          <w:rStyle w:val="Heading2Char"/>
          <w:lang w:val="en-US"/>
        </w:rPr>
        <w:t xml:space="preserve">Data </w:t>
      </w:r>
      <w:r w:rsidR="00B97444">
        <w:rPr>
          <w:rStyle w:val="Heading2Char"/>
          <w:lang w:val="en-US"/>
        </w:rPr>
        <w:t>and</w:t>
      </w:r>
      <w:r w:rsidRPr="00367F23">
        <w:rPr>
          <w:rStyle w:val="Heading2Char"/>
          <w:lang w:val="en-US"/>
        </w:rPr>
        <w:t xml:space="preserve"> command mode</w:t>
      </w:r>
      <w:r>
        <w:rPr>
          <w:lang w:val="en-US"/>
        </w:rPr>
        <w:br/>
        <w:t xml:space="preserve">The SrBox2020 works normally in data mode, all the data send over the serial </w:t>
      </w:r>
      <w:proofErr w:type="spellStart"/>
      <w:r>
        <w:rPr>
          <w:lang w:val="en-US"/>
        </w:rPr>
        <w:t>usb</w:t>
      </w:r>
      <w:proofErr w:type="spellEnd"/>
      <w:r>
        <w:rPr>
          <w:lang w:val="en-US"/>
        </w:rPr>
        <w:t xml:space="preserve"> connection will be set on the output connectors </w:t>
      </w:r>
      <w:proofErr w:type="spellStart"/>
      <w:r>
        <w:rPr>
          <w:lang w:val="en-US"/>
        </w:rPr>
        <w:t>Biosemi</w:t>
      </w:r>
      <w:proofErr w:type="spellEnd"/>
      <w:r>
        <w:rPr>
          <w:lang w:val="en-US"/>
        </w:rPr>
        <w:t xml:space="preserve"> and </w:t>
      </w:r>
      <w:proofErr w:type="spellStart"/>
      <w:r>
        <w:rPr>
          <w:lang w:val="en-US"/>
        </w:rPr>
        <w:t>Biopac</w:t>
      </w:r>
      <w:proofErr w:type="spellEnd"/>
      <w:r>
        <w:rPr>
          <w:lang w:val="en-US"/>
        </w:rPr>
        <w:t>.</w:t>
      </w:r>
    </w:p>
    <w:p w:rsidR="00367F23" w:rsidRDefault="00367F23" w:rsidP="00A270B3">
      <w:pPr>
        <w:pStyle w:val="NoSpacing"/>
        <w:rPr>
          <w:lang w:val="en-US"/>
        </w:rPr>
      </w:pPr>
      <w:r>
        <w:rPr>
          <w:lang w:val="en-US"/>
        </w:rPr>
        <w:t>To put the SrBox2020 in data mode open the comport 115200 baud, 8 bits, none parity, 1 stop bit.</w:t>
      </w:r>
      <w:r>
        <w:rPr>
          <w:lang w:val="en-US"/>
        </w:rPr>
        <w:br/>
        <w:t>115200,8,N,1</w:t>
      </w:r>
    </w:p>
    <w:p w:rsidR="00367F23" w:rsidRDefault="00367F23" w:rsidP="00A270B3">
      <w:pPr>
        <w:pStyle w:val="NoSpacing"/>
        <w:rPr>
          <w:lang w:val="en-US"/>
        </w:rPr>
      </w:pPr>
      <w:r>
        <w:rPr>
          <w:lang w:val="en-US"/>
        </w:rPr>
        <w:lastRenderedPageBreak/>
        <w:t>For switching to command mode open the comport @ 4800 baud. 4800,8,N,1</w:t>
      </w:r>
      <w:r>
        <w:rPr>
          <w:lang w:val="en-US"/>
        </w:rPr>
        <w:br/>
        <w:t xml:space="preserve">The red led </w:t>
      </w:r>
      <w:proofErr w:type="spellStart"/>
      <w:r>
        <w:rPr>
          <w:lang w:val="en-US"/>
        </w:rPr>
        <w:t>Cmd</w:t>
      </w:r>
      <w:proofErr w:type="spellEnd"/>
      <w:r>
        <w:rPr>
          <w:lang w:val="en-US"/>
        </w:rPr>
        <w:t xml:space="preserve"> will lit up when </w:t>
      </w:r>
      <w:r w:rsidR="00B97444">
        <w:rPr>
          <w:lang w:val="en-US"/>
        </w:rPr>
        <w:t>it is in command mode</w:t>
      </w:r>
    </w:p>
    <w:p w:rsidR="00B97444" w:rsidRDefault="00367F23" w:rsidP="00A270B3">
      <w:pPr>
        <w:pStyle w:val="NoSpacing"/>
        <w:rPr>
          <w:lang w:val="en-US"/>
        </w:rPr>
      </w:pPr>
      <w:r>
        <w:rPr>
          <w:lang w:val="en-US"/>
        </w:rPr>
        <w:t xml:space="preserve"> </w:t>
      </w:r>
    </w:p>
    <w:p w:rsidR="00B97444" w:rsidRDefault="00B97444" w:rsidP="00A270B3">
      <w:pPr>
        <w:pStyle w:val="NoSpacing"/>
        <w:rPr>
          <w:lang w:val="en-US"/>
        </w:rPr>
      </w:pPr>
    </w:p>
    <w:p w:rsidR="00B97444" w:rsidRDefault="00B97444" w:rsidP="00B97444">
      <w:pPr>
        <w:pStyle w:val="NoSpacing"/>
        <w:rPr>
          <w:color w:val="538135" w:themeColor="accent6" w:themeShade="BF"/>
          <w:lang w:val="en-US"/>
        </w:rPr>
      </w:pPr>
      <w:r w:rsidRPr="00F60A91">
        <w:rPr>
          <w:rStyle w:val="Heading2Char"/>
          <w:lang w:val="en-US"/>
        </w:rPr>
        <w:t>Command mode</w:t>
      </w:r>
      <w:r>
        <w:rPr>
          <w:rStyle w:val="Heading2Char"/>
          <w:lang w:val="en-US"/>
        </w:rPr>
        <w:t xml:space="preserve"> commands</w:t>
      </w:r>
      <w:r>
        <w:rPr>
          <w:lang w:val="en-US"/>
        </w:rPr>
        <w:br/>
        <w:t>V - Version will give info about the SrBox2020</w:t>
      </w:r>
      <w:r>
        <w:rPr>
          <w:lang w:val="en-US"/>
        </w:rPr>
        <w:br/>
        <w:t xml:space="preserve">Response: </w:t>
      </w:r>
      <w:r w:rsidRPr="00A270B3">
        <w:rPr>
          <w:color w:val="538135" w:themeColor="accent6" w:themeShade="BF"/>
          <w:lang w:val="en-US"/>
        </w:rPr>
        <w:t>Version:1.0,Serialno:S01234,Device:Srbox2020</w:t>
      </w:r>
      <w:r>
        <w:rPr>
          <w:lang w:val="en-US"/>
        </w:rPr>
        <w:br/>
        <w:t>S – Will put the SrBox2020 in passive mode</w:t>
      </w:r>
      <w:r>
        <w:rPr>
          <w:lang w:val="en-US"/>
        </w:rPr>
        <w:br/>
        <w:t xml:space="preserve">Response: </w:t>
      </w:r>
      <w:r w:rsidRPr="00A270B3">
        <w:rPr>
          <w:color w:val="538135" w:themeColor="accent6" w:themeShade="BF"/>
          <w:lang w:val="en-US"/>
        </w:rPr>
        <w:t>Passive</w:t>
      </w:r>
      <w:r>
        <w:rPr>
          <w:lang w:val="en-US"/>
        </w:rPr>
        <w:br/>
        <w:t>A – Will put the SRBox2020 in active mode</w:t>
      </w:r>
      <w:r>
        <w:rPr>
          <w:lang w:val="en-US"/>
        </w:rPr>
        <w:br/>
        <w:t xml:space="preserve">Response: </w:t>
      </w:r>
      <w:r w:rsidRPr="00A270B3">
        <w:rPr>
          <w:color w:val="538135" w:themeColor="accent6" w:themeShade="BF"/>
          <w:lang w:val="en-US"/>
        </w:rPr>
        <w:t>Active</w:t>
      </w:r>
      <w:r>
        <w:rPr>
          <w:lang w:val="en-US"/>
        </w:rPr>
        <w:br/>
        <w:t>P – Ping the SrBox2020 to see if it’s alive.</w:t>
      </w:r>
      <w:r>
        <w:rPr>
          <w:lang w:val="en-US"/>
        </w:rPr>
        <w:br/>
        <w:t xml:space="preserve">Response: </w:t>
      </w:r>
      <w:r w:rsidRPr="00A270B3">
        <w:rPr>
          <w:color w:val="538135" w:themeColor="accent6" w:themeShade="BF"/>
          <w:lang w:val="en-US"/>
        </w:rPr>
        <w:t>Pong,</w:t>
      </w:r>
      <w:r>
        <w:rPr>
          <w:color w:val="538135" w:themeColor="accent6" w:themeShade="BF"/>
          <w:lang w:val="en-US"/>
        </w:rPr>
        <w:t>Sr</w:t>
      </w:r>
      <w:r w:rsidRPr="00A270B3">
        <w:rPr>
          <w:color w:val="538135" w:themeColor="accent6" w:themeShade="BF"/>
          <w:lang w:val="en-US"/>
        </w:rPr>
        <w:t>Box2020</w:t>
      </w:r>
    </w:p>
    <w:p w:rsidR="00B97444" w:rsidRDefault="00B97444" w:rsidP="00B97444">
      <w:pPr>
        <w:pStyle w:val="NoSpacing"/>
        <w:rPr>
          <w:color w:val="538135" w:themeColor="accent6" w:themeShade="BF"/>
          <w:lang w:val="en-US"/>
        </w:rPr>
      </w:pPr>
      <w:r>
        <w:rPr>
          <w:color w:val="000000" w:themeColor="text1"/>
          <w:lang w:val="en-US"/>
        </w:rPr>
        <w:t>None of the above</w:t>
      </w:r>
      <w:r w:rsidRPr="00E04997">
        <w:rPr>
          <w:color w:val="000000" w:themeColor="text1"/>
          <w:lang w:val="en-US"/>
        </w:rPr>
        <w:t xml:space="preserve">  - Other commands will be ignored</w:t>
      </w:r>
      <w:r w:rsidRPr="00E04997">
        <w:rPr>
          <w:color w:val="000000" w:themeColor="text1"/>
          <w:lang w:val="en-US"/>
        </w:rPr>
        <w:br/>
        <w:t xml:space="preserve">Response : </w:t>
      </w:r>
      <w:r w:rsidRPr="00E04997">
        <w:rPr>
          <w:color w:val="538135" w:themeColor="accent6" w:themeShade="BF"/>
          <w:lang w:val="en-US"/>
        </w:rPr>
        <w:t>Unknown command</w:t>
      </w:r>
      <w:r w:rsidRPr="00E04997">
        <w:rPr>
          <w:color w:val="538135" w:themeColor="accent6" w:themeShade="BF"/>
          <w:lang w:val="en-US"/>
        </w:rPr>
        <w:cr/>
      </w:r>
    </w:p>
    <w:p w:rsidR="00FF0EA0" w:rsidRDefault="00FF0EA0" w:rsidP="00B97444">
      <w:pPr>
        <w:pStyle w:val="NoSpacing"/>
        <w:rPr>
          <w:color w:val="000000" w:themeColor="text1"/>
          <w:lang w:val="en-US"/>
        </w:rPr>
      </w:pPr>
      <w:r>
        <w:rPr>
          <w:color w:val="000000" w:themeColor="text1"/>
          <w:lang w:val="en-US"/>
        </w:rPr>
        <w:t>Commands are case sensitive.</w:t>
      </w:r>
    </w:p>
    <w:p w:rsidR="00FF0EA0" w:rsidRDefault="00FF0EA0" w:rsidP="00B97444">
      <w:pPr>
        <w:pStyle w:val="NoSpacing"/>
        <w:rPr>
          <w:color w:val="538135" w:themeColor="accent6" w:themeShade="BF"/>
          <w:lang w:val="en-US"/>
        </w:rPr>
      </w:pPr>
      <w:bookmarkStart w:id="0" w:name="_GoBack"/>
      <w:bookmarkEnd w:id="0"/>
    </w:p>
    <w:p w:rsidR="001A079E" w:rsidRPr="00A270B3" w:rsidRDefault="00A270B3" w:rsidP="00A270B3">
      <w:pPr>
        <w:pStyle w:val="NoSpacing"/>
        <w:rPr>
          <w:lang w:val="en-US"/>
        </w:rPr>
      </w:pPr>
      <w:r>
        <w:rPr>
          <w:lang w:val="en-US"/>
        </w:rPr>
        <w:br/>
      </w:r>
      <w:r>
        <w:rPr>
          <w:lang w:val="en-US"/>
        </w:rPr>
        <w:br/>
        <w:t xml:space="preserve"> </w:t>
      </w:r>
    </w:p>
    <w:sectPr w:rsidR="001A079E" w:rsidRPr="00A270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B3"/>
    <w:rsid w:val="001A079E"/>
    <w:rsid w:val="001A48BD"/>
    <w:rsid w:val="00203ADF"/>
    <w:rsid w:val="00306FFB"/>
    <w:rsid w:val="00367F23"/>
    <w:rsid w:val="005A1E3F"/>
    <w:rsid w:val="00A270B3"/>
    <w:rsid w:val="00A90DD5"/>
    <w:rsid w:val="00AA6316"/>
    <w:rsid w:val="00B97444"/>
    <w:rsid w:val="00BB1597"/>
    <w:rsid w:val="00C65DE4"/>
    <w:rsid w:val="00E04997"/>
    <w:rsid w:val="00F2563B"/>
    <w:rsid w:val="00F60A91"/>
    <w:rsid w:val="00FF0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83F3"/>
  <w15:chartTrackingRefBased/>
  <w15:docId w15:val="{57F163CE-0495-4519-9FE9-3FF34A94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7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0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70B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270B3"/>
    <w:pPr>
      <w:spacing w:after="0" w:line="240" w:lineRule="auto"/>
    </w:pPr>
  </w:style>
  <w:style w:type="table" w:styleId="TableGrid">
    <w:name w:val="Table Grid"/>
    <w:basedOn w:val="TableNormal"/>
    <w:uiPriority w:val="39"/>
    <w:rsid w:val="00F60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A1E3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E.K.</dc:creator>
  <cp:keywords/>
  <dc:description/>
  <cp:lastModifiedBy>Dekker, E.K. (Evert)</cp:lastModifiedBy>
  <cp:revision>10</cp:revision>
  <dcterms:created xsi:type="dcterms:W3CDTF">2021-01-21T12:59:00Z</dcterms:created>
  <dcterms:modified xsi:type="dcterms:W3CDTF">2021-09-21T08:59:00Z</dcterms:modified>
</cp:coreProperties>
</file>