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b/>
          <w:color w:val="16324F"/>
          <w:sz w:val="38"/>
        </w:rPr>
        <w:t>OFFICE OPENING BUSINESS &amp; LOCATION BRIEF</w:t>
      </w:r>
      <w:r>
        <w:rPr>
          <w:b/>
          <w:color w:val="2F5D7E"/>
          <w:sz w:val="24"/>
        </w:rPr>
        <w:br/>
        <w:t>Northstar Analytics GmbH — Kraków Office</w:t>
      </w:r>
      <w:r>
        <w:rPr>
          <w:color w:val="646464"/>
          <w:sz w:val="18"/>
        </w:rPr>
        <w:br/>
        <w:t>Decision draft | Target opening: 15 March 2027</w:t>
      </w:r>
    </w:p>
    <w:tbl>
      <w:tblPr>
        <w:tblW w:type="auto" w:w="0"/>
        <w:jc w:val="center"/>
        <w:tblLayout w:type="fixed"/>
        <w:tblLook w:firstColumn="1" w:firstRow="1" w:lastColumn="0" w:lastRow="0" w:noHBand="0" w:noVBand="1" w:val="04A0"/>
      </w:tblPr>
      <w:tblGrid>
        <w:gridCol w:w="10080"/>
      </w:tblGrid>
      <w:tr>
        <w:tc>
          <w:tcPr>
            <w:tcW w:type="dxa" w:w="10368"/>
            <w:shd w:fill="EAF2F8"/>
            <w:tcMar>
              <w:top w:w="120" w:type="dxa"/>
              <w:start w:w="140" w:type="dxa"/>
              <w:bottom w:w="120" w:type="dxa"/>
              <w:end w:w="140" w:type="dxa"/>
            </w:tcMar>
          </w:tcPr>
          <w:p>
            <w:r>
              <w:rPr>
                <w:b/>
                <w:color w:val="16324F"/>
                <w:sz w:val="22"/>
              </w:rPr>
              <w:t>Executive summary</w:t>
            </w:r>
          </w:p>
          <w:p>
            <w:pPr>
              <w:spacing w:after="0"/>
            </w:pPr>
            <w:r>
              <w:t>Northstar Analytics GmbH, a 420-person German B2B SaaS company focused on supply-chain analytics, plans to establish a regional engineering and customer-support hub in Kraków. The office is designed for a hybrid workforce, with 110 workstations supporting 85 employees in year one and 180 by year three. The proposed investment envelope is EUR 2.4 million, with opening targeted for 15 March 2027.</w:t>
            </w:r>
          </w:p>
        </w:tc>
      </w:tr>
    </w:tbl>
    <w:p>
      <w:pPr>
        <w:pStyle w:val="Heading1"/>
        <w:spacing w:after="0" w:line="240" w:lineRule="auto"/>
      </w:pPr>
      <w:r>
        <w:t>1. Company and strategic rationale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Mar>
              <w:top w:w="55" w:type="dxa"/>
              <w:start w:w="70" w:type="dxa"/>
              <w:bottom w:w="55" w:type="dxa"/>
              <w:end w:w="70" w:type="dxa"/>
            </w:tcMar>
            <w:vAlign w:val="center"/>
            <w:shd w:fill="D9E7F2"/>
          </w:tcPr>
          <w:p>
            <w:r>
              <w:rPr>
                <w:b/>
                <w:sz w:val="16"/>
              </w:rPr>
              <w:t>Legal entity</w:t>
            </w:r>
          </w:p>
        </w:tc>
        <w:tc>
          <w:tcPr>
            <w:tcW w:type="dxa" w:w="2592"/>
            <w:tcMar>
              <w:top w:w="55" w:type="dxa"/>
              <w:start w:w="70" w:type="dxa"/>
              <w:bottom w:w="55" w:type="dxa"/>
              <w:end w:w="70" w:type="dxa"/>
            </w:tcMar>
            <w:vAlign w:val="center"/>
          </w:tcPr>
          <w:p>
            <w:r>
              <w:rPr>
                <w:sz w:val="16"/>
              </w:rPr>
              <w:t>Northstar Analytics GmbH</w:t>
            </w:r>
          </w:p>
        </w:tc>
        <w:tc>
          <w:tcPr>
            <w:tcW w:type="dxa" w:w="2592"/>
            <w:tcMar>
              <w:top w:w="55" w:type="dxa"/>
              <w:start w:w="70" w:type="dxa"/>
              <w:bottom w:w="55" w:type="dxa"/>
              <w:end w:w="70" w:type="dxa"/>
            </w:tcMar>
            <w:vAlign w:val="center"/>
            <w:shd w:fill="D9E7F2"/>
          </w:tcPr>
          <w:p>
            <w:r>
              <w:rPr>
                <w:b/>
                <w:sz w:val="16"/>
              </w:rPr>
              <w:t>Brand</w:t>
            </w:r>
          </w:p>
        </w:tc>
        <w:tc>
          <w:tcPr>
            <w:tcW w:type="dxa" w:w="2592"/>
            <w:tcMar>
              <w:top w:w="55" w:type="dxa"/>
              <w:start w:w="70" w:type="dxa"/>
              <w:bottom w:w="55" w:type="dxa"/>
              <w:end w:w="70" w:type="dxa"/>
            </w:tcMar>
            <w:vAlign w:val="center"/>
          </w:tcPr>
          <w:p>
            <w:r>
              <w:rPr>
                <w:sz w:val="16"/>
              </w:rPr>
              <w:t>Northstar</w:t>
            </w:r>
          </w:p>
        </w:tc>
      </w:tr>
      <w:tr>
        <w:tc>
          <w:tcPr>
            <w:tcW w:type="dxa" w:w="2592"/>
            <w:tcMar>
              <w:top w:w="55" w:type="dxa"/>
              <w:start w:w="70" w:type="dxa"/>
              <w:bottom w:w="55" w:type="dxa"/>
              <w:end w:w="70" w:type="dxa"/>
            </w:tcMar>
            <w:vAlign w:val="center"/>
            <w:shd w:fill="D9E7F2"/>
          </w:tcPr>
          <w:p>
            <w:r>
              <w:rPr>
                <w:b/>
                <w:sz w:val="16"/>
              </w:rPr>
              <w:t>Industry</w:t>
            </w:r>
          </w:p>
        </w:tc>
        <w:tc>
          <w:tcPr>
            <w:tcW w:type="dxa" w:w="2592"/>
            <w:tcMar>
              <w:top w:w="55" w:type="dxa"/>
              <w:start w:w="70" w:type="dxa"/>
              <w:bottom w:w="55" w:type="dxa"/>
              <w:end w:w="70" w:type="dxa"/>
            </w:tcMar>
            <w:vAlign w:val="center"/>
          </w:tcPr>
          <w:p>
            <w:r>
              <w:rPr>
                <w:sz w:val="16"/>
              </w:rPr>
              <w:t>B2B SaaS / supply-chain analytics</w:t>
            </w:r>
          </w:p>
        </w:tc>
        <w:tc>
          <w:tcPr>
            <w:tcW w:type="dxa" w:w="2592"/>
            <w:tcMar>
              <w:top w:w="55" w:type="dxa"/>
              <w:start w:w="70" w:type="dxa"/>
              <w:bottom w:w="55" w:type="dxa"/>
              <w:end w:w="70" w:type="dxa"/>
            </w:tcMar>
            <w:vAlign w:val="center"/>
            <w:shd w:fill="D9E7F2"/>
          </w:tcPr>
          <w:p>
            <w:r>
              <w:rPr>
                <w:b/>
                <w:sz w:val="16"/>
              </w:rPr>
              <w:t>Headquarters</w:t>
            </w:r>
          </w:p>
        </w:tc>
        <w:tc>
          <w:tcPr>
            <w:tcW w:type="dxa" w:w="2592"/>
            <w:tcMar>
              <w:top w:w="55" w:type="dxa"/>
              <w:start w:w="70" w:type="dxa"/>
              <w:bottom w:w="55" w:type="dxa"/>
              <w:end w:w="70" w:type="dxa"/>
            </w:tcMar>
            <w:vAlign w:val="center"/>
          </w:tcPr>
          <w:p>
            <w:r>
              <w:rPr>
                <w:sz w:val="16"/>
              </w:rPr>
              <w:t>Germany</w:t>
            </w:r>
          </w:p>
        </w:tc>
      </w:tr>
      <w:tr>
        <w:tc>
          <w:tcPr>
            <w:tcW w:type="dxa" w:w="2592"/>
            <w:tcMar>
              <w:top w:w="55" w:type="dxa"/>
              <w:start w:w="70" w:type="dxa"/>
              <w:bottom w:w="55" w:type="dxa"/>
              <w:end w:w="70" w:type="dxa"/>
            </w:tcMar>
            <w:vAlign w:val="center"/>
            <w:shd w:fill="D9E7F2"/>
          </w:tcPr>
          <w:p>
            <w:r>
              <w:rPr>
                <w:b/>
                <w:sz w:val="16"/>
              </w:rPr>
              <w:t>Current workforce</w:t>
            </w:r>
          </w:p>
        </w:tc>
        <w:tc>
          <w:tcPr>
            <w:tcW w:type="dxa" w:w="2592"/>
            <w:tcMar>
              <w:top w:w="55" w:type="dxa"/>
              <w:start w:w="70" w:type="dxa"/>
              <w:bottom w:w="55" w:type="dxa"/>
              <w:end w:w="70" w:type="dxa"/>
            </w:tcMar>
            <w:vAlign w:val="center"/>
          </w:tcPr>
          <w:p>
            <w:r>
              <w:rPr>
                <w:sz w:val="16"/>
              </w:rPr>
              <w:t>420 employees</w:t>
            </w:r>
          </w:p>
        </w:tc>
        <w:tc>
          <w:tcPr>
            <w:tcW w:type="dxa" w:w="2592"/>
            <w:tcMar>
              <w:top w:w="55" w:type="dxa"/>
              <w:start w:w="70" w:type="dxa"/>
              <w:bottom w:w="55" w:type="dxa"/>
              <w:end w:w="70" w:type="dxa"/>
            </w:tcMar>
            <w:vAlign w:val="center"/>
            <w:shd w:fill="D9E7F2"/>
          </w:tcPr>
          <w:p>
            <w:r>
              <w:rPr>
                <w:b/>
                <w:sz w:val="16"/>
              </w:rPr>
              <w:t>Business goal</w:t>
            </w:r>
          </w:p>
        </w:tc>
        <w:tc>
          <w:tcPr>
            <w:tcW w:type="dxa" w:w="2592"/>
            <w:tcMar>
              <w:top w:w="55" w:type="dxa"/>
              <w:start w:w="70" w:type="dxa"/>
              <w:bottom w:w="55" w:type="dxa"/>
              <w:end w:w="70" w:type="dxa"/>
            </w:tcMar>
            <w:vAlign w:val="center"/>
          </w:tcPr>
          <w:p>
            <w:r>
              <w:rPr>
                <w:sz w:val="16"/>
              </w:rPr>
              <w:t>Regional engineering and customer-support hub</w:t>
            </w:r>
          </w:p>
        </w:tc>
      </w:tr>
      <w:tr>
        <w:tc>
          <w:tcPr>
            <w:tcW w:type="dxa" w:w="2592"/>
            <w:tcMar>
              <w:top w:w="55" w:type="dxa"/>
              <w:start w:w="70" w:type="dxa"/>
              <w:bottom w:w="55" w:type="dxa"/>
              <w:end w:w="70" w:type="dxa"/>
            </w:tcMar>
            <w:vAlign w:val="center"/>
            <w:shd w:fill="D9E7F2"/>
          </w:tcPr>
          <w:p>
            <w:r>
              <w:rPr>
                <w:b/>
                <w:sz w:val="16"/>
              </w:rPr>
              <w:t>Target country</w:t>
            </w:r>
          </w:p>
        </w:tc>
        <w:tc>
          <w:tcPr>
            <w:tcW w:type="dxa" w:w="2592"/>
            <w:tcMar>
              <w:top w:w="55" w:type="dxa"/>
              <w:start w:w="70" w:type="dxa"/>
              <w:bottom w:w="55" w:type="dxa"/>
              <w:end w:w="70" w:type="dxa"/>
            </w:tcMar>
            <w:vAlign w:val="center"/>
          </w:tcPr>
          <w:p>
            <w:r>
              <w:rPr>
                <w:sz w:val="16"/>
              </w:rPr>
              <w:t>Poland</w:t>
            </w:r>
          </w:p>
        </w:tc>
        <w:tc>
          <w:tcPr>
            <w:tcW w:type="dxa" w:w="2592"/>
            <w:tcMar>
              <w:top w:w="55" w:type="dxa"/>
              <w:start w:w="70" w:type="dxa"/>
              <w:bottom w:w="55" w:type="dxa"/>
              <w:end w:w="70" w:type="dxa"/>
            </w:tcMar>
            <w:vAlign w:val="center"/>
            <w:shd w:fill="D9E7F2"/>
          </w:tcPr>
          <w:p>
            <w:r>
              <w:rPr>
                <w:b/>
                <w:sz w:val="16"/>
              </w:rPr>
              <w:t>Target city</w:t>
            </w:r>
          </w:p>
        </w:tc>
        <w:tc>
          <w:tcPr>
            <w:tcW w:type="dxa" w:w="2592"/>
            <w:tcMar>
              <w:top w:w="55" w:type="dxa"/>
              <w:start w:w="70" w:type="dxa"/>
              <w:bottom w:w="55" w:type="dxa"/>
              <w:end w:w="70" w:type="dxa"/>
            </w:tcMar>
            <w:vAlign w:val="center"/>
          </w:tcPr>
          <w:p>
            <w:r>
              <w:rPr>
                <w:sz w:val="16"/>
              </w:rPr>
              <w:t>Kraków</w:t>
            </w:r>
          </w:p>
        </w:tc>
      </w:tr>
      <w:tr>
        <w:tc>
          <w:tcPr>
            <w:tcW w:type="dxa" w:w="2592"/>
            <w:tcMar>
              <w:top w:w="55" w:type="dxa"/>
              <w:start w:w="70" w:type="dxa"/>
              <w:bottom w:w="55" w:type="dxa"/>
              <w:end w:w="70" w:type="dxa"/>
            </w:tcMar>
            <w:vAlign w:val="center"/>
            <w:shd w:fill="D9E7F2"/>
          </w:tcPr>
          <w:p>
            <w:r>
              <w:rPr>
                <w:b/>
                <w:sz w:val="16"/>
              </w:rPr>
              <w:t>Opening target</w:t>
            </w:r>
          </w:p>
        </w:tc>
        <w:tc>
          <w:tcPr>
            <w:tcW w:type="dxa" w:w="2592"/>
            <w:tcMar>
              <w:top w:w="55" w:type="dxa"/>
              <w:start w:w="70" w:type="dxa"/>
              <w:bottom w:w="55" w:type="dxa"/>
              <w:end w:w="70" w:type="dxa"/>
            </w:tcMar>
            <w:vAlign w:val="center"/>
          </w:tcPr>
          <w:p>
            <w:r>
              <w:rPr>
                <w:sz w:val="16"/>
              </w:rPr>
              <w:t>15 March 2027</w:t>
            </w:r>
          </w:p>
        </w:tc>
        <w:tc>
          <w:tcPr>
            <w:tcW w:type="dxa" w:w="2592"/>
            <w:tcMar>
              <w:top w:w="55" w:type="dxa"/>
              <w:start w:w="70" w:type="dxa"/>
              <w:bottom w:w="55" w:type="dxa"/>
              <w:end w:w="70" w:type="dxa"/>
            </w:tcMar>
            <w:vAlign w:val="center"/>
            <w:shd w:fill="D9E7F2"/>
          </w:tcPr>
          <w:p>
            <w:r>
              <w:rPr>
                <w:b/>
                <w:sz w:val="16"/>
              </w:rPr>
              <w:t>Initial budget</w:t>
            </w:r>
          </w:p>
        </w:tc>
        <w:tc>
          <w:tcPr>
            <w:tcW w:type="dxa" w:w="2592"/>
            <w:tcMar>
              <w:top w:w="55" w:type="dxa"/>
              <w:start w:w="70" w:type="dxa"/>
              <w:bottom w:w="55" w:type="dxa"/>
              <w:end w:w="70" w:type="dxa"/>
            </w:tcMar>
            <w:vAlign w:val="center"/>
          </w:tcPr>
          <w:p>
            <w:r>
              <w:rPr>
                <w:sz w:val="16"/>
              </w:rPr>
              <w:t>EUR 2,400,000</w:t>
            </w:r>
          </w:p>
        </w:tc>
      </w:tr>
      <w:tr>
        <w:tc>
          <w:tcPr>
            <w:tcW w:type="dxa" w:w="2592"/>
            <w:tcMar>
              <w:top w:w="55" w:type="dxa"/>
              <w:start w:w="70" w:type="dxa"/>
              <w:bottom w:w="55" w:type="dxa"/>
              <w:end w:w="70" w:type="dxa"/>
            </w:tcMar>
            <w:vAlign w:val="center"/>
            <w:shd w:fill="D9E7F2"/>
          </w:tcPr>
          <w:p>
            <w:r>
              <w:rPr>
                <w:b/>
                <w:sz w:val="16"/>
              </w:rPr>
              <w:t>Growth plan</w:t>
            </w:r>
          </w:p>
        </w:tc>
        <w:tc>
          <w:tcPr>
            <w:tcW w:type="dxa" w:w="2592"/>
            <w:tcMar>
              <w:top w:w="55" w:type="dxa"/>
              <w:start w:w="70" w:type="dxa"/>
              <w:bottom w:w="55" w:type="dxa"/>
              <w:end w:w="70" w:type="dxa"/>
            </w:tcMar>
            <w:vAlign w:val="center"/>
          </w:tcPr>
          <w:p>
            <w:r>
              <w:rPr>
                <w:sz w:val="16"/>
              </w:rPr>
              <w:t>85 employees in year 1</w:t>
            </w:r>
          </w:p>
        </w:tc>
        <w:tc>
          <w:tcPr>
            <w:tcW w:type="dxa" w:w="2592"/>
            <w:tcMar>
              <w:top w:w="55" w:type="dxa"/>
              <w:start w:w="70" w:type="dxa"/>
              <w:bottom w:w="55" w:type="dxa"/>
              <w:end w:w="70" w:type="dxa"/>
            </w:tcMar>
            <w:vAlign w:val="center"/>
            <w:shd w:fill="D9E7F2"/>
          </w:tcPr>
          <w:p>
            <w:r>
              <w:rPr>
                <w:b/>
                <w:sz w:val="16"/>
              </w:rPr>
              <w:t>Three-year plan</w:t>
            </w:r>
          </w:p>
        </w:tc>
        <w:tc>
          <w:tcPr>
            <w:tcW w:type="dxa" w:w="2592"/>
            <w:tcMar>
              <w:top w:w="55" w:type="dxa"/>
              <w:start w:w="70" w:type="dxa"/>
              <w:bottom w:w="55" w:type="dxa"/>
              <w:end w:w="70" w:type="dxa"/>
            </w:tcMar>
            <w:vAlign w:val="center"/>
          </w:tcPr>
          <w:p>
            <w:r>
              <w:rPr>
                <w:sz w:val="16"/>
              </w:rPr>
              <w:t>180 employees</w:t>
            </w:r>
          </w:p>
        </w:tc>
      </w:tr>
    </w:tbl>
    <w:p>
      <w:pPr>
        <w:pStyle w:val="Heading1"/>
        <w:spacing w:after="0" w:line="240" w:lineRule="auto"/>
      </w:pPr>
      <w:r>
        <w:t>2. Workplace model and capacity requirements</w:t>
      </w:r>
    </w:p>
    <w:p>
      <w:pPr>
        <w:spacing w:after="0" w:line="240" w:lineRule="auto"/>
      </w:pPr>
      <w:r>
        <w:rPr>
          <w:b/>
        </w:rPr>
        <w:t xml:space="preserve">Operating model. </w:t>
      </w:r>
      <w:r>
        <w:t>The office will operate on a hybrid basis. Capacity is set at 110 permanent workstations, allowing planned growth while maintaining shared-space flexibility. The workplace programme includes eight meeting rooms, two phone-booth zones, a 30-person training room and a dedicated server room.</w:t>
      </w:r>
    </w:p>
    <w:p>
      <w:pPr>
        <w:pStyle w:val="ListBullet"/>
        <w:spacing w:after="0" w:line="240" w:lineRule="auto"/>
      </w:pPr>
      <w:r>
        <w:rPr>
          <w:b/>
        </w:rPr>
        <w:t xml:space="preserve">Work model: </w:t>
      </w:r>
      <w:r>
        <w:t>Hybrid</w:t>
      </w:r>
    </w:p>
    <w:p>
      <w:pPr>
        <w:pStyle w:val="ListBullet"/>
        <w:spacing w:after="0" w:line="240" w:lineRule="auto"/>
      </w:pPr>
      <w:r>
        <w:rPr>
          <w:b/>
        </w:rPr>
        <w:t xml:space="preserve">Required workstations: </w:t>
      </w:r>
      <w:r>
        <w:t>110</w:t>
      </w:r>
    </w:p>
    <w:p>
      <w:pPr>
        <w:pStyle w:val="ListBullet"/>
        <w:spacing w:after="0" w:line="240" w:lineRule="auto"/>
      </w:pPr>
      <w:r>
        <w:rPr>
          <w:b/>
        </w:rPr>
        <w:t xml:space="preserve">Meeting rooms: </w:t>
      </w:r>
      <w:r>
        <w:t>8</w:t>
      </w:r>
    </w:p>
    <w:p>
      <w:pPr>
        <w:pStyle w:val="ListBullet"/>
        <w:spacing w:after="0" w:line="240" w:lineRule="auto"/>
      </w:pPr>
      <w:r>
        <w:rPr>
          <w:b/>
        </w:rPr>
        <w:t xml:space="preserve">Special spaces: </w:t>
      </w:r>
      <w:r>
        <w:t>Server room, two phone-booth zones, 30-person training room</w:t>
      </w:r>
    </w:p>
    <w:p>
      <w:pPr>
        <w:pStyle w:val="ListBullet"/>
        <w:spacing w:after="0" w:line="240" w:lineRule="auto"/>
      </w:pPr>
      <w:r>
        <w:rPr>
          <w:b/>
        </w:rPr>
        <w:t xml:space="preserve">Furniture standard: </w:t>
      </w:r>
      <w:r>
        <w:t>Height-adjustable desks, ergonomic chairs and dual 27-inch monitors</w:t>
      </w:r>
    </w:p>
    <w:p>
      <w:pPr>
        <w:pStyle w:val="Heading1"/>
        <w:spacing w:after="0" w:line="240" w:lineRule="auto"/>
      </w:pPr>
      <w:r>
        <w:t>3. Location search criteria</w:t>
      </w:r>
    </w:p>
    <w:p>
      <w:pPr>
        <w:spacing w:after="80" w:line="240" w:lineRule="auto"/>
      </w:pPr>
      <w:r>
        <w:t>The location strategy prioritises public-transport access and proximity to Kraków’s technology talent pool. Five candidate locations were assessed against cost, accessibility, technical readiness and legal constraints. The target is for 80% of employees to reach the office within 45 minutes.</w:t>
      </w:r>
    </w:p>
    <w:tbl>
      <w:tblPr>
        <w:tblStyle w:val="TableGrid"/>
        <w:tblW w:type="auto" w:w="0"/>
        <w:jc w:val="center"/>
        <w:tblLook w:firstColumn="1" w:firstRow="1" w:lastColumn="0" w:lastRow="0" w:noHBand="0" w:noVBand="1" w:val="04A0"/>
      </w:tblPr>
      <w:tblGrid>
        <w:gridCol w:w="5184"/>
        <w:gridCol w:w="5184"/>
      </w:tblGrid>
      <w:tr>
        <w:tc>
          <w:tcPr>
            <w:tcW w:type="dxa" w:w="5184"/>
            <w:shd w:fill="D9E7F2"/>
            <w:tcMar>
              <w:top w:w="55" w:type="dxa"/>
              <w:start w:w="70" w:type="dxa"/>
              <w:bottom w:w="55" w:type="dxa"/>
              <w:end w:w="70" w:type="dxa"/>
            </w:tcMar>
          </w:tcPr>
          <w:p>
            <w:r>
              <w:rPr>
                <w:b/>
                <w:sz w:val="16"/>
              </w:rPr>
              <w:t>Primary location priority</w:t>
            </w:r>
          </w:p>
        </w:tc>
        <w:tc>
          <w:tcPr>
            <w:tcW w:type="dxa" w:w="5184"/>
            <w:tcMar>
              <w:top w:w="55" w:type="dxa"/>
              <w:start w:w="70" w:type="dxa"/>
              <w:bottom w:w="55" w:type="dxa"/>
              <w:end w:w="70" w:type="dxa"/>
            </w:tcMar>
          </w:tcPr>
          <w:p>
            <w:r>
              <w:rPr>
                <w:sz w:val="16"/>
              </w:rPr>
              <w:t>Transport accessibility and proximity to talent hub</w:t>
            </w:r>
          </w:p>
        </w:tc>
      </w:tr>
      <w:tr>
        <w:tc>
          <w:tcPr>
            <w:tcW w:type="dxa" w:w="5184"/>
            <w:shd w:fill="D9E7F2"/>
            <w:tcMar>
              <w:top w:w="55" w:type="dxa"/>
              <w:start w:w="70" w:type="dxa"/>
              <w:bottom w:w="55" w:type="dxa"/>
              <w:end w:w="70" w:type="dxa"/>
            </w:tcMar>
          </w:tcPr>
          <w:p>
            <w:r>
              <w:rPr>
                <w:b/>
                <w:sz w:val="16"/>
              </w:rPr>
              <w:t>Maximum commute target</w:t>
            </w:r>
          </w:p>
        </w:tc>
        <w:tc>
          <w:tcPr>
            <w:tcW w:type="dxa" w:w="5184"/>
            <w:tcMar>
              <w:top w:w="55" w:type="dxa"/>
              <w:start w:w="70" w:type="dxa"/>
              <w:bottom w:w="55" w:type="dxa"/>
              <w:end w:w="70" w:type="dxa"/>
            </w:tcMar>
          </w:tcPr>
          <w:p>
            <w:r>
              <w:rPr>
                <w:sz w:val="16"/>
              </w:rPr>
              <w:t>45 minutes for 80% of employees</w:t>
            </w:r>
          </w:p>
        </w:tc>
      </w:tr>
      <w:tr>
        <w:tc>
          <w:tcPr>
            <w:tcW w:type="dxa" w:w="5184"/>
            <w:shd w:fill="D9E7F2"/>
            <w:tcMar>
              <w:top w:w="55" w:type="dxa"/>
              <w:start w:w="70" w:type="dxa"/>
              <w:bottom w:w="55" w:type="dxa"/>
              <w:end w:w="70" w:type="dxa"/>
            </w:tcMar>
          </w:tcPr>
          <w:p>
            <w:r>
              <w:rPr>
                <w:b/>
                <w:sz w:val="16"/>
              </w:rPr>
              <w:t>Candidate locations reviewed</w:t>
            </w:r>
          </w:p>
        </w:tc>
        <w:tc>
          <w:tcPr>
            <w:tcW w:type="dxa" w:w="5184"/>
            <w:tcMar>
              <w:top w:w="55" w:type="dxa"/>
              <w:start w:w="70" w:type="dxa"/>
              <w:bottom w:w="55" w:type="dxa"/>
              <w:end w:w="70" w:type="dxa"/>
            </w:tcMar>
          </w:tcPr>
          <w:p>
            <w:r>
              <w:rPr>
                <w:sz w:val="16"/>
              </w:rPr>
              <w:t>5</w:t>
            </w:r>
          </w:p>
        </w:tc>
      </w:tr>
      <w:tr>
        <w:tc>
          <w:tcPr>
            <w:tcW w:type="dxa" w:w="5184"/>
            <w:shd w:fill="D9E7F2"/>
            <w:tcMar>
              <w:top w:w="55" w:type="dxa"/>
              <w:start w:w="70" w:type="dxa"/>
              <w:bottom w:w="55" w:type="dxa"/>
              <w:end w:w="70" w:type="dxa"/>
            </w:tcMar>
          </w:tcPr>
          <w:p>
            <w:r>
              <w:rPr>
                <w:b/>
                <w:sz w:val="16"/>
              </w:rPr>
              <w:t>Preferred lease term</w:t>
            </w:r>
          </w:p>
        </w:tc>
        <w:tc>
          <w:tcPr>
            <w:tcW w:type="dxa" w:w="5184"/>
            <w:tcMar>
              <w:top w:w="55" w:type="dxa"/>
              <w:start w:w="70" w:type="dxa"/>
              <w:bottom w:w="55" w:type="dxa"/>
              <w:end w:w="70" w:type="dxa"/>
            </w:tcMar>
          </w:tcPr>
          <w:p>
            <w:r>
              <w:rPr>
                <w:sz w:val="16"/>
              </w:rPr>
              <w:t>60 months</w:t>
            </w:r>
          </w:p>
        </w:tc>
      </w:tr>
      <w:tr>
        <w:tc>
          <w:tcPr>
            <w:tcW w:type="dxa" w:w="5184"/>
            <w:shd w:fill="D9E7F2"/>
            <w:tcMar>
              <w:top w:w="55" w:type="dxa"/>
              <w:start w:w="70" w:type="dxa"/>
              <w:bottom w:w="55" w:type="dxa"/>
              <w:end w:w="70" w:type="dxa"/>
            </w:tcMar>
          </w:tcPr>
          <w:p>
            <w:r>
              <w:rPr>
                <w:b/>
                <w:sz w:val="16"/>
              </w:rPr>
              <w:t>Maximum monthly rent</w:t>
            </w:r>
          </w:p>
        </w:tc>
        <w:tc>
          <w:tcPr>
            <w:tcW w:type="dxa" w:w="5184"/>
            <w:tcMar>
              <w:top w:w="55" w:type="dxa"/>
              <w:start w:w="70" w:type="dxa"/>
              <w:bottom w:w="55" w:type="dxa"/>
              <w:end w:w="70" w:type="dxa"/>
            </w:tcMar>
          </w:tcPr>
          <w:p>
            <w:r>
              <w:rPr>
                <w:sz w:val="16"/>
              </w:rPr>
              <w:t>EUR 58,000 excluding utilities</w:t>
            </w:r>
          </w:p>
        </w:tc>
      </w:tr>
    </w:tbl>
    <w:p>
      <w:pPr>
        <w:spacing w:after="0" w:line="240" w:lineRule="auto"/>
      </w:pPr>
      <w:r>
        <w:br/>
      </w:r>
    </w:p>
    <w:p>
      <w:pPr>
        <w:pStyle w:val="Heading1"/>
        <w:spacing w:after="0" w:line="240" w:lineRule="auto"/>
      </w:pPr>
      <w:r>
        <w:t>4. Legal, employment and compliance model</w:t>
      </w:r>
    </w:p>
    <w:p>
      <w:pPr>
        <w:spacing w:after="0" w:line="240" w:lineRule="auto"/>
      </w:pPr>
      <w:r>
        <w:t>A Polish limited-liability company (Sp. z o.o.) will be established as the local operating entity. Employees will be hired directly through that entity. The operating model must comply with Polish labour law, GDPR, fire-safety requirements and local occupational-health rules. Visa support is required for part of the relocation population.</w:t>
      </w:r>
    </w:p>
    <w:tbl>
      <w:tblPr>
        <w:tblStyle w:val="TableGrid"/>
        <w:tblW w:type="auto" w:w="0"/>
        <w:jc w:val="center"/>
        <w:tblLook w:firstColumn="1" w:firstRow="1" w:lastColumn="0" w:lastRow="0" w:noHBand="0" w:noVBand="1" w:val="04A0"/>
      </w:tblPr>
      <w:tblGrid>
        <w:gridCol w:w="5184"/>
        <w:gridCol w:w="5184"/>
      </w:tblGrid>
      <w:tr>
        <w:tc>
          <w:tcPr>
            <w:tcW w:type="dxa" w:w="5184"/>
            <w:shd w:fill="D9E7F2"/>
            <w:tcMar>
              <w:top w:w="55" w:type="dxa"/>
              <w:start w:w="70" w:type="dxa"/>
              <w:bottom w:w="55" w:type="dxa"/>
              <w:end w:w="70" w:type="dxa"/>
            </w:tcMar>
          </w:tcPr>
          <w:p>
            <w:r>
              <w:rPr>
                <w:b/>
                <w:sz w:val="16"/>
              </w:rPr>
              <w:t>Local legal entity required</w:t>
            </w:r>
          </w:p>
        </w:tc>
        <w:tc>
          <w:tcPr>
            <w:tcW w:type="dxa" w:w="5184"/>
            <w:tcMar>
              <w:top w:w="55" w:type="dxa"/>
              <w:start w:w="70" w:type="dxa"/>
              <w:bottom w:w="55" w:type="dxa"/>
              <w:end w:w="70" w:type="dxa"/>
            </w:tcMar>
          </w:tcPr>
          <w:p>
            <w:r>
              <w:rPr>
                <w:sz w:val="16"/>
              </w:rPr>
              <w:t>Yes — Polish Sp. z o.o.</w:t>
            </w:r>
          </w:p>
        </w:tc>
      </w:tr>
      <w:tr>
        <w:tc>
          <w:tcPr>
            <w:tcW w:type="dxa" w:w="5184"/>
            <w:shd w:fill="D9E7F2"/>
            <w:tcMar>
              <w:top w:w="55" w:type="dxa"/>
              <w:start w:w="70" w:type="dxa"/>
              <w:bottom w:w="55" w:type="dxa"/>
              <w:end w:w="70" w:type="dxa"/>
            </w:tcMar>
          </w:tcPr>
          <w:p>
            <w:r>
              <w:rPr>
                <w:b/>
                <w:sz w:val="16"/>
              </w:rPr>
              <w:t>Tax model</w:t>
            </w:r>
          </w:p>
        </w:tc>
        <w:tc>
          <w:tcPr>
            <w:tcW w:type="dxa" w:w="5184"/>
            <w:tcMar>
              <w:top w:w="55" w:type="dxa"/>
              <w:start w:w="70" w:type="dxa"/>
              <w:bottom w:w="55" w:type="dxa"/>
              <w:end w:w="70" w:type="dxa"/>
            </w:tcMar>
          </w:tcPr>
          <w:p>
            <w:r>
              <w:rPr>
                <w:sz w:val="16"/>
              </w:rPr>
              <w:t>Local operating entity with transfer-pricing agreement to the German parent</w:t>
            </w:r>
          </w:p>
        </w:tc>
      </w:tr>
      <w:tr>
        <w:tc>
          <w:tcPr>
            <w:tcW w:type="dxa" w:w="5184"/>
            <w:shd w:fill="D9E7F2"/>
            <w:tcMar>
              <w:top w:w="55" w:type="dxa"/>
              <w:start w:w="70" w:type="dxa"/>
              <w:bottom w:w="55" w:type="dxa"/>
              <w:end w:w="70" w:type="dxa"/>
            </w:tcMar>
          </w:tcPr>
          <w:p>
            <w:r>
              <w:rPr>
                <w:b/>
                <w:sz w:val="16"/>
              </w:rPr>
              <w:t>Employment model</w:t>
            </w:r>
          </w:p>
        </w:tc>
        <w:tc>
          <w:tcPr>
            <w:tcW w:type="dxa" w:w="5184"/>
            <w:tcMar>
              <w:top w:w="55" w:type="dxa"/>
              <w:start w:w="70" w:type="dxa"/>
              <w:bottom w:w="55" w:type="dxa"/>
              <w:end w:w="70" w:type="dxa"/>
            </w:tcMar>
          </w:tcPr>
          <w:p>
            <w:r>
              <w:rPr>
                <w:sz w:val="16"/>
              </w:rPr>
              <w:t>Direct local employment</w:t>
            </w:r>
          </w:p>
        </w:tc>
      </w:tr>
      <w:tr>
        <w:tc>
          <w:tcPr>
            <w:tcW w:type="dxa" w:w="5184"/>
            <w:shd w:fill="D9E7F2"/>
            <w:tcMar>
              <w:top w:w="55" w:type="dxa"/>
              <w:start w:w="70" w:type="dxa"/>
              <w:bottom w:w="55" w:type="dxa"/>
              <w:end w:w="70" w:type="dxa"/>
            </w:tcMar>
          </w:tcPr>
          <w:p>
            <w:r>
              <w:rPr>
                <w:b/>
                <w:sz w:val="16"/>
              </w:rPr>
              <w:t>Visa support</w:t>
            </w:r>
          </w:p>
        </w:tc>
        <w:tc>
          <w:tcPr>
            <w:tcW w:type="dxa" w:w="5184"/>
            <w:tcMar>
              <w:top w:w="55" w:type="dxa"/>
              <w:start w:w="70" w:type="dxa"/>
              <w:bottom w:w="55" w:type="dxa"/>
              <w:end w:w="70" w:type="dxa"/>
            </w:tcMar>
          </w:tcPr>
          <w:p>
            <w:r>
              <w:rPr>
                <w:sz w:val="16"/>
              </w:rPr>
              <w:t>Required</w:t>
            </w:r>
          </w:p>
        </w:tc>
      </w:tr>
      <w:tr>
        <w:tc>
          <w:tcPr>
            <w:tcW w:type="dxa" w:w="5184"/>
            <w:shd w:fill="D9E7F2"/>
            <w:tcMar>
              <w:top w:w="55" w:type="dxa"/>
              <w:start w:w="70" w:type="dxa"/>
              <w:bottom w:w="55" w:type="dxa"/>
              <w:end w:w="70" w:type="dxa"/>
            </w:tcMar>
          </w:tcPr>
          <w:p>
            <w:r>
              <w:rPr>
                <w:b/>
                <w:sz w:val="16"/>
              </w:rPr>
              <w:t>Data residency</w:t>
            </w:r>
          </w:p>
        </w:tc>
        <w:tc>
          <w:tcPr>
            <w:tcW w:type="dxa" w:w="5184"/>
            <w:tcMar>
              <w:top w:w="55" w:type="dxa"/>
              <w:start w:w="70" w:type="dxa"/>
              <w:bottom w:w="55" w:type="dxa"/>
              <w:end w:w="70" w:type="dxa"/>
            </w:tcMar>
          </w:tcPr>
          <w:p>
            <w:r>
              <w:rPr>
                <w:sz w:val="16"/>
              </w:rPr>
              <w:t>Employee personal data stored in the EU; production customer data not stored locally</w:t>
            </w:r>
          </w:p>
        </w:tc>
      </w:tr>
      <w:tr>
        <w:tc>
          <w:tcPr>
            <w:tcW w:type="dxa" w:w="5184"/>
            <w:shd w:fill="D9E7F2"/>
            <w:tcMar>
              <w:top w:w="55" w:type="dxa"/>
              <w:start w:w="70" w:type="dxa"/>
              <w:bottom w:w="55" w:type="dxa"/>
              <w:end w:w="70" w:type="dxa"/>
            </w:tcMar>
          </w:tcPr>
          <w:p>
            <w:r>
              <w:rPr>
                <w:b/>
                <w:sz w:val="16"/>
              </w:rPr>
              <w:t>Accessibility standard</w:t>
            </w:r>
          </w:p>
        </w:tc>
        <w:tc>
          <w:tcPr>
            <w:tcW w:type="dxa" w:w="5184"/>
            <w:tcMar>
              <w:top w:w="55" w:type="dxa"/>
              <w:start w:w="70" w:type="dxa"/>
              <w:bottom w:w="55" w:type="dxa"/>
              <w:end w:w="70" w:type="dxa"/>
            </w:tcMar>
          </w:tcPr>
          <w:p>
            <w:r>
              <w:rPr>
                <w:sz w:val="16"/>
              </w:rPr>
              <w:t>Step-free access, lift, adapted restroom and at least four accessible workstations</w:t>
            </w:r>
          </w:p>
        </w:tc>
      </w:tr>
      <w:tr>
        <w:tc>
          <w:tcPr>
            <w:tcW w:type="dxa" w:w="5184"/>
            <w:shd w:fill="D9E7F2"/>
            <w:tcMar>
              <w:top w:w="55" w:type="dxa"/>
              <w:start w:w="70" w:type="dxa"/>
              <w:bottom w:w="55" w:type="dxa"/>
              <w:end w:w="70" w:type="dxa"/>
            </w:tcMar>
          </w:tcPr>
          <w:p>
            <w:r>
              <w:rPr>
                <w:b/>
                <w:sz w:val="16"/>
              </w:rPr>
              <w:t>Regulatory scope</w:t>
            </w:r>
          </w:p>
        </w:tc>
        <w:tc>
          <w:tcPr>
            <w:tcW w:type="dxa" w:w="5184"/>
            <w:tcMar>
              <w:top w:w="55" w:type="dxa"/>
              <w:start w:w="70" w:type="dxa"/>
              <w:bottom w:w="55" w:type="dxa"/>
              <w:end w:w="70" w:type="dxa"/>
            </w:tcMar>
          </w:tcPr>
          <w:p>
            <w:r>
              <w:rPr>
                <w:sz w:val="16"/>
              </w:rPr>
              <w:t>Polish labour law, GDPR, fire safety and occupational-health requirements</w:t>
            </w:r>
          </w:p>
        </w:tc>
      </w:tr>
    </w:tbl>
    <w:p>
      <w:pPr>
        <w:pStyle w:val="Heading1"/>
        <w:spacing w:after="0" w:line="240" w:lineRule="auto"/>
      </w:pPr>
      <w:r>
        <w:t>5. Selected and backup locations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6324F"/>
          </w:tcPr>
          <w:p>
            <w:r>
              <w:rPr>
                <w:b/>
                <w:color w:val="FFFFFF"/>
              </w:rPr>
              <w:t>Criterion</w:t>
            </w:r>
          </w:p>
        </w:tc>
        <w:tc>
          <w:tcPr>
            <w:tcW w:type="dxa" w:w="3456"/>
            <w:shd w:fill="16324F"/>
          </w:tcPr>
          <w:p>
            <w:r>
              <w:rPr>
                <w:b/>
                <w:color w:val="FFFFFF"/>
              </w:rPr>
              <w:t>Selected location</w:t>
            </w:r>
          </w:p>
        </w:tc>
        <w:tc>
          <w:tcPr>
            <w:tcW w:type="dxa" w:w="3456"/>
            <w:shd w:fill="16324F"/>
          </w:tcPr>
          <w:p>
            <w:r>
              <w:rPr>
                <w:b/>
                <w:color w:val="FFFFFF"/>
              </w:rPr>
              <w:t>Backup location</w:t>
            </w:r>
          </w:p>
        </w:tc>
      </w:tr>
      <w:tr>
        <w:tc>
          <w:tcPr>
            <w:tcW w:type="dxa" w:w="3456"/>
            <w:tcMar>
              <w:top w:w="60" w:type="dxa"/>
              <w:start w:w="70" w:type="dxa"/>
              <w:bottom w:w="60" w:type="dxa"/>
              <w:end w:w="70" w:type="dxa"/>
            </w:tcMar>
            <w:shd w:fill="D9E7F2"/>
          </w:tcPr>
          <w:p>
            <w:r>
              <w:rPr>
                <w:b/>
                <w:sz w:val="16"/>
              </w:rPr>
              <w:t>Address</w:t>
            </w:r>
          </w:p>
        </w:tc>
        <w:tc>
          <w:tcPr>
            <w:tcW w:type="dxa" w:w="3456"/>
            <w:tcMar>
              <w:top w:w="60" w:type="dxa"/>
              <w:start w:w="70" w:type="dxa"/>
              <w:bottom w:w="60" w:type="dxa"/>
              <w:end w:w="70" w:type="dxa"/>
            </w:tcMar>
          </w:tcPr>
          <w:p>
            <w:r>
              <w:rPr>
                <w:sz w:val="16"/>
              </w:rPr>
              <w:t>Mogilska 35, 31-545 Kraków</w:t>
            </w:r>
          </w:p>
        </w:tc>
        <w:tc>
          <w:tcPr>
            <w:tcW w:type="dxa" w:w="3456"/>
            <w:tcMar>
              <w:top w:w="60" w:type="dxa"/>
              <w:start w:w="70" w:type="dxa"/>
              <w:bottom w:w="60" w:type="dxa"/>
              <w:end w:w="70" w:type="dxa"/>
            </w:tcMar>
          </w:tcPr>
          <w:p>
            <w:r>
              <w:rPr>
                <w:sz w:val="16"/>
              </w:rPr>
              <w:t>Pawia 23, 31-154 Kraków</w:t>
            </w:r>
          </w:p>
        </w:tc>
      </w:tr>
      <w:tr>
        <w:tc>
          <w:tcPr>
            <w:tcW w:type="dxa" w:w="3456"/>
            <w:tcMar>
              <w:top w:w="60" w:type="dxa"/>
              <w:start w:w="70" w:type="dxa"/>
              <w:bottom w:w="60" w:type="dxa"/>
              <w:end w:w="70" w:type="dxa"/>
            </w:tcMar>
            <w:shd w:fill="D9E7F2"/>
          </w:tcPr>
          <w:p>
            <w:r>
              <w:rPr>
                <w:b/>
                <w:sz w:val="16"/>
              </w:rPr>
              <w:t>Usable area</w:t>
            </w:r>
          </w:p>
        </w:tc>
        <w:tc>
          <w:tcPr>
            <w:tcW w:type="dxa" w:w="3456"/>
            <w:tcMar>
              <w:top w:w="60" w:type="dxa"/>
              <w:start w:w="70" w:type="dxa"/>
              <w:bottom w:w="60" w:type="dxa"/>
              <w:end w:w="70" w:type="dxa"/>
            </w:tcMar>
          </w:tcPr>
          <w:p>
            <w:r>
              <w:rPr>
                <w:sz w:val="16"/>
              </w:rPr>
              <w:t>1,850 m²</w:t>
            </w:r>
          </w:p>
        </w:tc>
        <w:tc>
          <w:tcPr>
            <w:tcW w:type="dxa" w:w="3456"/>
            <w:tcMar>
              <w:top w:w="60" w:type="dxa"/>
              <w:start w:w="70" w:type="dxa"/>
              <w:bottom w:w="60" w:type="dxa"/>
              <w:end w:w="70" w:type="dxa"/>
            </w:tcMar>
          </w:tcPr>
          <w:p>
            <w:r>
              <w:rPr>
                <w:sz w:val="16"/>
              </w:rPr>
              <w:t>To be confirmed if activated</w:t>
            </w:r>
          </w:p>
        </w:tc>
      </w:tr>
      <w:tr>
        <w:tc>
          <w:tcPr>
            <w:tcW w:type="dxa" w:w="3456"/>
            <w:tcMar>
              <w:top w:w="60" w:type="dxa"/>
              <w:start w:w="70" w:type="dxa"/>
              <w:bottom w:w="60" w:type="dxa"/>
              <w:end w:w="70" w:type="dxa"/>
            </w:tcMar>
            <w:shd w:fill="D9E7F2"/>
          </w:tcPr>
          <w:p>
            <w:r>
              <w:rPr>
                <w:b/>
                <w:sz w:val="16"/>
              </w:rPr>
              <w:t>Technical readiness</w:t>
            </w:r>
          </w:p>
        </w:tc>
        <w:tc>
          <w:tcPr>
            <w:tcW w:type="dxa" w:w="3456"/>
            <w:tcMar>
              <w:top w:w="60" w:type="dxa"/>
              <w:start w:w="70" w:type="dxa"/>
              <w:bottom w:w="60" w:type="dxa"/>
              <w:end w:w="70" w:type="dxa"/>
            </w:tcMar>
          </w:tcPr>
          <w:p>
            <w:r>
              <w:rPr>
                <w:sz w:val="16"/>
              </w:rPr>
              <w:t>82/100</w:t>
            </w:r>
          </w:p>
        </w:tc>
        <w:tc>
          <w:tcPr>
            <w:tcW w:type="dxa" w:w="3456"/>
            <w:tcMar>
              <w:top w:w="60" w:type="dxa"/>
              <w:start w:w="70" w:type="dxa"/>
              <w:bottom w:w="60" w:type="dxa"/>
              <w:end w:w="70" w:type="dxa"/>
            </w:tcMar>
          </w:tcPr>
          <w:p>
            <w:r>
              <w:rPr>
                <w:sz w:val="16"/>
              </w:rPr>
              <w:t>Reserve option; detailed score pending</w:t>
            </w:r>
          </w:p>
        </w:tc>
      </w:tr>
    </w:tbl>
    <w:p>
      <w:pPr>
        <w:pStyle w:val="Heading1"/>
        <w:spacing w:after="0" w:line="240" w:lineRule="auto"/>
      </w:pPr>
      <w:r>
        <w:t>6. Decision assessment</w:t>
      </w:r>
    </w:p>
    <w:p>
      <w:pPr>
        <w:spacing w:after="0" w:line="240" w:lineRule="auto"/>
      </w:pPr>
      <w:r>
        <w:rPr>
          <w:b/>
        </w:rPr>
        <w:t xml:space="preserve">Recommendation. </w:t>
      </w:r>
      <w:r>
        <w:t>Proceed with Mogilska 35 as the primary site and retain Pawia 23 as the negotiated fallback. The selected site meets the space requirement, remains within the rent ceiling and has a technical readiness score of 82/100. The remaining risks are manageable within the fit-out and compliance workstreams.</w:t>
      </w:r>
    </w:p>
    <w:tbl>
      <w:tblPr>
        <w:tblW w:type="auto" w:w="0"/>
        <w:jc w:val="center"/>
        <w:tblLook w:firstColumn="1" w:firstRow="1" w:lastColumn="0" w:lastRow="0" w:noHBand="0" w:noVBand="1" w:val="04A0"/>
      </w:tblPr>
      <w:tblGrid>
        <w:gridCol w:w="10368"/>
      </w:tblGrid>
      <w:tr>
        <w:tc>
          <w:tcPr>
            <w:tcW w:type="dxa" w:w="10368"/>
            <w:shd w:fill="FFF4CC"/>
            <w:tcMar>
              <w:top w:w="100" w:type="dxa"/>
              <w:start w:w="120" w:type="dxa"/>
              <w:bottom w:w="100" w:type="dxa"/>
              <w:end w:w="120" w:type="dxa"/>
            </w:tcMar>
          </w:tcPr>
          <w:p>
            <w:r>
              <w:rPr>
                <w:b/>
              </w:rPr>
              <w:t>Conditional decision factors</w:t>
            </w:r>
          </w:p>
          <w:p>
            <w:pPr>
              <w:pStyle w:val="ListBullet"/>
              <w:spacing w:after="0"/>
            </w:pPr>
            <w:r>
              <w:t>Complete formation of the Polish legal entity and transfer-pricing agreement.</w:t>
            </w:r>
          </w:p>
          <w:p>
            <w:pPr>
              <w:pStyle w:val="ListBullet"/>
              <w:spacing w:after="0"/>
            </w:pPr>
            <w:r>
              <w:t>Close fire-safety and accessibility findings before readiness review.</w:t>
            </w:r>
          </w:p>
          <w:p>
            <w:pPr>
              <w:pStyle w:val="ListBullet"/>
              <w:spacing w:after="0"/>
            </w:pPr>
            <w:r>
              <w:t>Confirm visa support for the first relocation cohort.</w:t>
            </w:r>
          </w:p>
          <w:p>
            <w:pPr>
              <w:pStyle w:val="ListBullet"/>
              <w:spacing w:after="0"/>
            </w:pPr>
            <w:r>
              <w:t>Maintain the backup location until the primary lease and fit-out schedule are contractually secured.</w:t>
            </w:r>
          </w:p>
        </w:tc>
      </w:tr>
    </w:tbl>
    <w:p>
      <w:pPr>
        <w:spacing w:after="0" w:line="240" w:lineRule="auto"/>
        <w:jc w:val="right"/>
      </w:pPr>
      <w:r>
        <w:rPr>
          <w:i/>
          <w:color w:val="6E6E6E"/>
          <w:sz w:val="16"/>
        </w:rPr>
        <w:t>Prepared for benchmark example use only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Сторінка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5A5A"/>
        <w:sz w:val="16"/>
      </w:rPr>
      <w:t>NORTHSTAR ANALYTICS GMBH  |  OFFICE OPENING INITIATIVE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D7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2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