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D5445"/>
          <w:sz w:val="18"/>
        </w:rPr>
        <w:t>ЭКОСИСТЕМА ДОКТОРА ЮДИНА</w:t>
      </w:r>
    </w:p>
    <w:p>
      <w:pPr>
        <w:pStyle w:val="Title"/>
      </w:pPr>
      <w:r>
        <w:t>АСПЛН — техническое задание</w:t>
      </w:r>
    </w:p>
    <w:p>
      <w:pPr>
        <w:pStyle w:val="Subtitle"/>
      </w:pPr>
      <w:r>
        <w:t>Двухстраничный сайт Ассоциации специалистов патологии лицевого нерва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tblHeader w:val="true"/>
        </w:trPr>
        <w:tc>
          <w:tcPr>
            <w:tcW w:type="dxa" w:w="238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917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Статус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Техническое задание для проектирования и сборки на Tilda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Визуальная основа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Дизайн и типографика yudinclinic.ru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Основной шрифт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Manrope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Дата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16 июля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Версия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1.0</w:t>
            </w:r>
          </w:p>
        </w:tc>
      </w:tr>
    </w:tbl>
    <w:p>
      <w:pPr>
        <w:spacing w:after="0"/>
      </w:pPr>
    </w:p>
    <w:p>
      <w:pPr>
        <w:pStyle w:val="Heading1"/>
      </w:pPr>
      <w:r>
        <w:t>1. Рамки проекта</w:t>
      </w:r>
    </w:p>
    <w:p>
      <w:r>
        <w:t>Проект: АСПЛН. Объём: 2 страницы. Новая версия не копирует основной сайт клиники, а решает самостоятельную задачу внутри единой экосистемы.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tblHeader w:val="true"/>
        </w:trPr>
        <w:tc>
          <w:tcPr>
            <w:tcW w:type="dxa" w:w="238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917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Главная цель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представить действующее профессиональное объединение и получать квалифицированные заявки на членство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Аудитория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врачи, научные сотрудники, реабилитологи, медицинские организации и партнёры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CMS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Tilda Publishing; преимущественно стандартные блоки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Адаптив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Desktop, tablet, mobile; контрольные ширины 1200 / 960 / 640 / 360 px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Язык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Русский; архитектура не должна мешать будущей языковой версии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Среда превью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Статическая HTML-версия с видимыми номерами Tilda-блоков</w:t>
            </w:r>
          </w:p>
        </w:tc>
      </w:tr>
    </w:tbl>
    <w:p>
      <w:pPr>
        <w:spacing w:after="0"/>
      </w:pPr>
    </w:p>
    <w:p>
      <w:pPr>
        <w:pStyle w:val="Heading1"/>
      </w:pPr>
      <w:r>
        <w:t>2. Пользовательские сценарии</w:t>
      </w:r>
    </w:p>
    <w:p>
      <w:pPr>
        <w:pStyle w:val="ListBullet"/>
      </w:pPr>
      <w:r>
        <w:t>Специалист понимает миссию и пользу участия → изучает условия → подаёт заявку.</w:t>
      </w:r>
    </w:p>
    <w:p>
      <w:pPr>
        <w:pStyle w:val="ListBullet"/>
      </w:pPr>
      <w:r>
        <w:t>Партнёр проверяет фактическую деятельность → предлагает совместный проект.</w:t>
      </w:r>
    </w:p>
    <w:p>
      <w:pPr>
        <w:pStyle w:val="ListBullet"/>
      </w:pPr>
      <w:r>
        <w:t>Участник рекламы попадает на релевантный блок мероприятия или членства.</w:t>
      </w:r>
    </w:p>
    <w:p>
      <w:pPr>
        <w:pStyle w:val="ListBullet"/>
      </w:pPr>
      <w:r>
        <w:t>Пациент получает проверенную общую информацию и переходит к клинике, не используя ассоциацию как запись на лечение.</w:t>
      </w:r>
    </w:p>
    <w:p>
      <w:pPr>
        <w:pStyle w:val="Heading1"/>
      </w:pPr>
      <w:r>
        <w:t>3. Визуальная система</w:t>
      </w:r>
    </w:p>
    <w:p>
      <w:r>
        <w:t>Интерфейс должен восприниматься как часть Клиники Юдина: медицинская точность, спокойная композиция, крупная типографика, свободное пространство, без декоративной псевдонаучности.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4762"/>
      </w:tblGrid>
      <w:tr>
        <w:trPr>
          <w:tblHeader w:val="true"/>
        </w:trPr>
        <w:tc>
          <w:tcPr>
            <w:tcW w:type="dxa" w:w="226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226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4762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Применение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Основной текст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#3D3D39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Заголовки, основной набор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Акцент</w:t>
            </w:r>
          </w:p>
        </w:tc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#3D5445</w:t>
            </w:r>
          </w:p>
        </w:tc>
        <w:tc>
          <w:tcPr>
            <w:tcW w:type="dxa" w:w="4762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Кнопки, ссылки, маркеры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Вторичный текст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#777772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Подписи и пояснения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Светлый фон</w:t>
            </w:r>
          </w:p>
        </w:tc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#F6F8F6 / #F8F8F6</w:t>
            </w:r>
          </w:p>
        </w:tc>
        <w:tc>
          <w:tcPr>
            <w:tcW w:type="dxa" w:w="4762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Чередование секций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Тёплый акцент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#F0D9A0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Только на тёмно-зелёных секциях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Типографика</w:t>
            </w:r>
          </w:p>
        </w:tc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Manrope</w:t>
            </w:r>
          </w:p>
        </w:tc>
        <w:tc>
          <w:tcPr>
            <w:tcW w:type="dxa" w:w="4762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Не подключать дополнительные гарнитуры</w:t>
            </w:r>
          </w:p>
        </w:tc>
      </w:tr>
    </w:tbl>
    <w:p>
      <w:pPr>
        <w:spacing w:after="0"/>
      </w:pPr>
    </w:p>
    <w:p>
      <w:pPr>
        <w:pStyle w:val="ListBullet"/>
      </w:pPr>
      <w:r>
        <w:t>Скругления карточек 20–28 px, кнопки капсульные.</w:t>
      </w:r>
    </w:p>
    <w:p>
      <w:pPr>
        <w:pStyle w:val="ListBullet"/>
      </w:pPr>
      <w:r>
        <w:t>Фотографии — документальные, естественный свет; не использовать стоковые изображения процедур без проверки.</w:t>
      </w:r>
    </w:p>
    <w:p>
      <w:pPr>
        <w:pStyle w:val="ListBullet"/>
      </w:pPr>
      <w:r>
        <w:t>На тёмном фоне обеспечить контраст не ниже WCAG AA.</w:t>
      </w:r>
    </w:p>
    <w:p>
      <w:pPr>
        <w:pStyle w:val="ListBullet"/>
      </w:pPr>
      <w:r>
        <w:t>Номер блока Tilda показывается только в прототипе; на опубликованном сайте бейджи убрать.</w:t>
      </w:r>
    </w:p>
    <w:p>
      <w:pPr>
        <w:pStyle w:val="Heading1"/>
      </w:pPr>
      <w:r>
        <w:t>4. Глобальные элементы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5670"/>
      </w:tblGrid>
      <w:tr>
        <w:trPr>
          <w:tblHeader w:val="true"/>
        </w:trPr>
        <w:tc>
          <w:tcPr>
            <w:tcW w:type="dxa" w:w="181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181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Tilda</w:t>
            </w:r>
          </w:p>
        </w:tc>
        <w:tc>
          <w:tcPr>
            <w:tcW w:type="dxa" w:w="5670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Состав и поведение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Шапка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ME303A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Логотип клиники + название проекта, навигация, основная CTA; sticky; мобильное меню.</w:t>
            </w:r>
          </w:p>
        </w:tc>
      </w:tr>
      <w:tr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Футер</w:t>
            </w:r>
          </w:p>
        </w:tc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FT305</w:t>
            </w:r>
          </w:p>
        </w:tc>
        <w:tc>
          <w:tcPr>
            <w:tcW w:type="dxa" w:w="5670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Контакты, реквизиты/документы, ссылки экосистемы, политика и согласия.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Формы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BF301 / BF502N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Валидация, маска телефона, скрытые UTM/yclid, success-state, защита от спама.</w:t>
            </w:r>
          </w:p>
        </w:tc>
      </w:tr>
      <w:tr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Cookie</w:t>
            </w:r>
          </w:p>
        </w:tc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системный/Zero Block</w:t>
            </w:r>
          </w:p>
        </w:tc>
        <w:tc>
          <w:tcPr>
            <w:tcW w:type="dxa" w:w="5670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Согласие, ссылка на политику, блокировка необязательной аналитики до согласия.</w:t>
            </w:r>
          </w:p>
        </w:tc>
      </w:tr>
    </w:tbl>
    <w:p>
      <w:pPr>
        <w:spacing w:after="0"/>
      </w:pPr>
    </w:p>
    <w:p>
      <w:pPr>
        <w:pStyle w:val="Heading1"/>
      </w:pPr>
      <w:r>
        <w:t>5. Структура страниц и блоков Tilda</w:t>
      </w:r>
    </w:p>
    <w:p>
      <w:pPr>
        <w:pStyle w:val="Heading2"/>
      </w:pPr>
      <w:r>
        <w:t>5.1. Главная — об ассоциации</w:t>
      </w:r>
    </w:p>
    <w:p>
      <w:r>
        <w:t>Презентовать АСПЛН, показать профессиональную ценность и довести специалиста до заявки на вступление.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453"/>
        <w:gridCol w:w="963"/>
        <w:gridCol w:w="1701"/>
        <w:gridCol w:w="2948"/>
        <w:gridCol w:w="1304"/>
        <w:gridCol w:w="1927"/>
      </w:tblGrid>
      <w:tr>
        <w:trPr>
          <w:tblHeader w:val="true"/>
        </w:trPr>
        <w:tc>
          <w:tcPr>
            <w:tcW w:type="dxa" w:w="453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№</w:t>
            </w:r>
          </w:p>
        </w:tc>
        <w:tc>
          <w:tcPr>
            <w:tcW w:type="dxa" w:w="963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Tilda</w:t>
            </w:r>
          </w:p>
        </w:tc>
        <w:tc>
          <w:tcPr>
            <w:tcW w:type="dxa" w:w="170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Блок / цель</w:t>
            </w:r>
          </w:p>
        </w:tc>
        <w:tc>
          <w:tcPr>
            <w:tcW w:type="dxa" w:w="294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130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CTA</w:t>
            </w:r>
          </w:p>
        </w:tc>
        <w:tc>
          <w:tcPr>
            <w:tcW w:type="dxa" w:w="1927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Материалы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ME303A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Шапка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Логотипы, якоря, переход на деятельность, CTA «Вступить».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Вступить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SVG, меню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2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CR45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Первый экран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Позиционирование, расшифровка АСПЛН, междисциплинарная ценность.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Подать заявку / Деятельность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Hero-фото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3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AB607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 нас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Краткое объяснение проблемы изолированной практики и роли объединения.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—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Текст, клиническое фото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4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FR208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Миссия и направления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Образование, наука, методология, сообщество, просвещение, партнёрства.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—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6 текстов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5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CL18N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Польза членства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Экспертная сеть, библиотека, проекты, профессиональное развитие.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 условиям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Подтверждённые преимущества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6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TM201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Руководство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Д.К. Юдин и ключевые специалисты; только подтверждённые должности.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Профиль врача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Фото, биографии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7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ST300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Как вступить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Анкета → документы → решение → участие.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Заполнить анкету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Регламент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8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TX16N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FAQ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Критерии, взносы, сроки, доступ к материалам.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—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Ответы юриста/секретаря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9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BF301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Форма вступления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Контактные и профессиональные сведения, согласие.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Отправить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Получатель, политика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10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FT305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Футер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Контакты, ИНН/ОГРН, документы, экосистема.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—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Реквизиты</w:t>
            </w:r>
          </w:p>
        </w:tc>
      </w:tr>
    </w:tbl>
    <w:p>
      <w:pPr>
        <w:spacing w:after="0"/>
      </w:pPr>
    </w:p>
    <w:p>
      <w:pPr>
        <w:pStyle w:val="Heading2"/>
      </w:pPr>
      <w:r>
        <w:t>5.2. Результаты и деятельность</w:t>
      </w:r>
    </w:p>
    <w:p>
      <w:r>
        <w:t>Подтвердить реальную работу ассоциации фактами, материалами и календарём.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453"/>
        <w:gridCol w:w="963"/>
        <w:gridCol w:w="1701"/>
        <w:gridCol w:w="2948"/>
        <w:gridCol w:w="1304"/>
        <w:gridCol w:w="1927"/>
      </w:tblGrid>
      <w:tr>
        <w:trPr>
          <w:tblHeader w:val="true"/>
        </w:trPr>
        <w:tc>
          <w:tcPr>
            <w:tcW w:type="dxa" w:w="453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№</w:t>
            </w:r>
          </w:p>
        </w:tc>
        <w:tc>
          <w:tcPr>
            <w:tcW w:type="dxa" w:w="963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Tilda</w:t>
            </w:r>
          </w:p>
        </w:tc>
        <w:tc>
          <w:tcPr>
            <w:tcW w:type="dxa" w:w="170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Блок / цель</w:t>
            </w:r>
          </w:p>
        </w:tc>
        <w:tc>
          <w:tcPr>
            <w:tcW w:type="dxa" w:w="294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130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CTA</w:t>
            </w:r>
          </w:p>
        </w:tc>
        <w:tc>
          <w:tcPr>
            <w:tcW w:type="dxa" w:w="1927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Материалы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ME303A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Шапка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Навигация между страницами и CTA членства.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Вступить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Меню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2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TL04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Заголовок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Роль страницы, пояснение принципа верификации.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—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Текст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3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SV102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Мероприятия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Карточки: дата, формат, спикеры, результат, фото, программа.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Подробнее / Регистрация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Реестр мероприятий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4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CL18N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Публикации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PDF, видео и статьи с авторами, годом и источником.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Открыть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Файлы/ссылки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5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GL20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Фотоотчёты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Галерея только с датой, событием и согласиями на фото.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—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 оригиналы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6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TE120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Календарь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Ближайшие события, условия участия и регистрация.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Зарегистрироваться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Даты, программы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7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TX16N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FAQ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Доступ к материалам, партнёрства, мероприятия.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—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Ответы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8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BF301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Подписка/обращение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Тип обращения и согласие.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Получать анонсы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Получатель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9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FT305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Футер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Контакты и документы.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—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Реквизиты</w:t>
            </w:r>
          </w:p>
        </w:tc>
      </w:tr>
    </w:tbl>
    <w:p>
      <w:pPr>
        <w:spacing w:after="0"/>
      </w:pPr>
    </w:p>
    <w:p>
      <w:pPr>
        <w:pStyle w:val="Heading1"/>
      </w:pPr>
      <w:r>
        <w:t>6. Формы и передача заявок</w:t>
      </w:r>
    </w:p>
    <w:p>
      <w:pPr>
        <w:pStyle w:val="Heading3"/>
      </w:pPr>
      <w:r>
        <w:t>Форма вступления</w:t>
      </w:r>
    </w:p>
    <w:p>
      <w:r>
        <w:t>Поля: имя и фамилия, телефон, e-mail, специальность, место работы, профессиональный интерес, согласие. Отправка секретарю ассоциации и в Tilda Leads; e-mail подтверждается заказчиком.</w:t>
      </w:r>
    </w:p>
    <w:p>
      <w:pPr>
        <w:pStyle w:val="Heading3"/>
      </w:pPr>
      <w:r>
        <w:t>Партнёрское обращение</w:t>
      </w:r>
    </w:p>
    <w:p>
      <w:r>
        <w:t>Поля: имя, организация, контакты, тип проекта, сообщение, согласие. Маршрутизация ответственному за партнёрства.</w:t>
      </w:r>
    </w:p>
    <w:p>
      <w:pPr>
        <w:pStyle w:val="ListBullet"/>
      </w:pPr>
      <w:r>
        <w:t>Передавать utm_source, utm_medium, utm_campaign, utm_content, utm_term, yclid и URL страницы.</w:t>
      </w:r>
    </w:p>
    <w:p>
      <w:pPr>
        <w:pStyle w:val="ListBullet"/>
      </w:pPr>
      <w:r>
        <w:t>После отправки показывать отдельное сообщение об успехе; повторная отправка недоступна 30 секунд.</w:t>
      </w:r>
    </w:p>
    <w:p>
      <w:pPr>
        <w:pStyle w:val="ListBullet"/>
      </w:pPr>
      <w:r>
        <w:t>Письмо содержит тему с названием проекта и типом формы. Адрес получателя не хранить в открытом HTML.</w:t>
      </w:r>
    </w:p>
    <w:p>
      <w:pPr>
        <w:pStyle w:val="ListBullet"/>
      </w:pPr>
      <w:r>
        <w:t>Дублировать лид в Tilda Leads; CRM подключать только после предоставления доступа и карты полей.</w:t>
      </w:r>
    </w:p>
    <w:p>
      <w:pPr>
        <w:pStyle w:val="Heading1"/>
      </w:pPr>
      <w:r>
        <w:t>7. SEO-подготовка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1814"/>
        <w:gridCol w:w="2608"/>
        <w:gridCol w:w="3175"/>
        <w:gridCol w:w="1701"/>
      </w:tblGrid>
      <w:tr>
        <w:trPr>
          <w:tblHeader w:val="true"/>
        </w:trPr>
        <w:tc>
          <w:tcPr>
            <w:tcW w:type="dxa" w:w="181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260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3175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70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H1 / URL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Главная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АСПЛН — ассоциация специалистов патологии лицевого нерва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Профессиональное объединение врачей, исследователей и реабилитологов.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Ассоциация специалистов… / /</w:t>
            </w:r>
          </w:p>
        </w:tc>
      </w:tr>
      <w:tr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Деятельность</w:t>
            </w:r>
          </w:p>
        </w:tc>
        <w:tc>
          <w:tcPr>
            <w:tcW w:type="dxa" w:w="260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Мероприятия и проекты АСПЛН</w:t>
            </w:r>
          </w:p>
        </w:tc>
        <w:tc>
          <w:tcPr>
            <w:tcW w:type="dxa" w:w="3175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Образовательные, научные и методические проекты ассоциации.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Результаты и деятельность / /activity</w:t>
            </w:r>
          </w:p>
        </w:tc>
      </w:tr>
    </w:tbl>
    <w:p>
      <w:pPr>
        <w:spacing w:after="0"/>
      </w:pPr>
    </w:p>
    <w:p>
      <w:pPr>
        <w:pStyle w:val="ListBullet"/>
      </w:pPr>
      <w:r>
        <w:t>Один H1 на странице; последовательная H2–H3 структура.</w:t>
      </w:r>
    </w:p>
    <w:p>
      <w:pPr>
        <w:pStyle w:val="ListBullet"/>
      </w:pPr>
      <w:r>
        <w:t>Настроить canonical, Open Graph, favicon, sitemap.xml, robots.txt и 301 со старых URL.</w:t>
      </w:r>
    </w:p>
    <w:p>
      <w:pPr>
        <w:pStyle w:val="ListBullet"/>
      </w:pPr>
      <w:r>
        <w:t>Базовая Schema.org: Organization/MedicalOrganization по роли проекта; FAQPage только для видимого FAQ.</w:t>
      </w:r>
    </w:p>
    <w:p>
      <w:pPr>
        <w:pStyle w:val="ListBullet"/>
      </w:pPr>
      <w:r>
        <w:t>Изображения: WebP/AVIF, width/height, осмысленный alt; lazy-load ниже первого экрана.</w:t>
      </w:r>
    </w:p>
    <w:p>
      <w:pPr>
        <w:pStyle w:val="Heading1"/>
      </w:pPr>
      <w:r>
        <w:t>8. Аналитика и рекламные параметры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268"/>
        <w:gridCol w:w="2381"/>
        <w:gridCol w:w="4649"/>
      </w:tblGrid>
      <w:tr>
        <w:trPr>
          <w:tblHeader w:val="true"/>
        </w:trPr>
        <w:tc>
          <w:tcPr>
            <w:tcW w:type="dxa" w:w="226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Событие</w:t>
            </w:r>
          </w:p>
        </w:tc>
        <w:tc>
          <w:tcPr>
            <w:tcW w:type="dxa" w:w="238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Имя цели</w:t>
            </w:r>
          </w:p>
        </w:tc>
        <w:tc>
          <w:tcPr>
            <w:tcW w:type="dxa" w:w="4649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Параметры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Клик основной CTA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cta_click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page, block, cta_text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Начало формы</w:t>
            </w:r>
          </w:p>
        </w:tc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form_start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form_name, page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Успешная отправка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form_success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form_name, page, lead_type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Ошибка формы</w:t>
            </w:r>
          </w:p>
        </w:tc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form_error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form_name, field, error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Внешний переход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outbound_click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destination, page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Просмотр 50/90%</w:t>
            </w:r>
          </w:p>
        </w:tc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scroll_50 / scroll_90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page</w:t>
            </w:r>
          </w:p>
        </w:tc>
      </w:tr>
    </w:tbl>
    <w:p>
      <w:pPr>
        <w:spacing w:after="0"/>
      </w:pPr>
    </w:p>
    <w:p>
      <w:r>
        <w:t>Не передавать в аналитику имя, телефон, e-mail, диагноз или свободный текст формы.</w:t>
      </w:r>
    </w:p>
    <w:p>
      <w:pPr>
        <w:pStyle w:val="Heading1"/>
      </w:pPr>
      <w:r>
        <w:t>9. Материалы от заказчика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1701"/>
        <w:gridCol w:w="4649"/>
        <w:gridCol w:w="1474"/>
        <w:gridCol w:w="1474"/>
      </w:tblGrid>
      <w:tr>
        <w:trPr>
          <w:tblHeader w:val="true"/>
        </w:trPr>
        <w:tc>
          <w:tcPr>
            <w:tcW w:type="dxa" w:w="170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4649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Что требуется</w:t>
            </w:r>
          </w:p>
        </w:tc>
        <w:tc>
          <w:tcPr>
            <w:tcW w:type="dxa" w:w="147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147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Ответственный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Бренд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SVG-логотип клиники, логотип проекта при наличии, правила охранного поля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дизайна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Оригиналы без мессенджер-сжатия, согласия изображённых лиц, подписи и даты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дизайна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Контакты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Рабочий телефон, e-mail получателя форм, адрес, часы ответа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подключения форм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Юридическое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Политика, согласие, cookie-текст, реквизиты, ответственный за ПДн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публикации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заказчик/юрист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SEO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Подтверждённые названия, регион, ссылки на официальные документы и профили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SEO-настройки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заказчик/редактор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Аналитика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ID Метрики, доступ, перечень рекламных кабинетов, шаблон UTM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тестирования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заказчик/маркетолог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АСПЛН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Устав, критерии членства, размер/порядок взносов, регламент рассмотрения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прототипа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ассоциация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Деятельность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Реестр мероприятий, программы, даты, спикеры, фото, публикации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дизайна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ассоциация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Команда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Фото, должности, специализации и письменное согласие на публикацию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дизайна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ассоциация</w:t>
            </w:r>
          </w:p>
        </w:tc>
      </w:tr>
    </w:tbl>
    <w:p>
      <w:pPr>
        <w:spacing w:after="0"/>
      </w:pPr>
    </w:p>
    <w:p>
      <w:pPr>
        <w:pStyle w:val="Heading1"/>
      </w:pPr>
      <w:r>
        <w:t>10. Юридические и содержательные ограничения</w:t>
      </w:r>
    </w:p>
    <w:p>
      <w:pPr>
        <w:pStyle w:val="ListBullet"/>
      </w:pPr>
      <w:r>
        <w:t>Не публиковать qwerty@yandex.ru и другие технические заглушки действующего сайта.</w:t>
      </w:r>
    </w:p>
    <w:p>
      <w:pPr>
        <w:pStyle w:val="ListBullet"/>
      </w:pPr>
      <w:r>
        <w:t>Не переносить нулевые счётчики и неподтверждённые отзывы.</w:t>
      </w:r>
    </w:p>
    <w:p>
      <w:pPr>
        <w:pStyle w:val="ListBullet"/>
      </w:pPr>
      <w:r>
        <w:t>Должности, уникальность ассоциации и научные утверждения проверяет ответственный редактор.</w:t>
      </w:r>
    </w:p>
    <w:p>
      <w:pPr>
        <w:pStyle w:val="ListBullet"/>
      </w:pPr>
      <w:r>
        <w:t>Заявка на членство не является медицинской записью; сценарии должны быть разделены.</w:t>
      </w:r>
    </w:p>
    <w:p>
      <w:pPr>
        <w:pStyle w:val="Heading1"/>
      </w:pPr>
      <w:r>
        <w:t>11. Технические требования Tilda</w:t>
      </w:r>
    </w:p>
    <w:p>
      <w:pPr>
        <w:pStyle w:val="ListBullet"/>
      </w:pPr>
      <w:r>
        <w:t>Стандартные блоки использовать там, где они покрывают задачу; Zero Block — только для уникальной композиции и без критической логики.</w:t>
      </w:r>
    </w:p>
    <w:p>
      <w:pPr>
        <w:pStyle w:val="ListBullet"/>
      </w:pPr>
      <w:r>
        <w:t>Не подключать тяжёлые библиотеки ради единичного эффекта; суммарный JS третьих сторон согласовывается.</w:t>
      </w:r>
    </w:p>
    <w:p>
      <w:pPr>
        <w:pStyle w:val="ListBullet"/>
      </w:pPr>
      <w:r>
        <w:t>Первый экран: приоритетная загрузка hero, остальные изображения lazy-load; целевой Lighthouse Performance ≥80 на mobile после публикации.</w:t>
      </w:r>
    </w:p>
    <w:p>
      <w:pPr>
        <w:pStyle w:val="ListBullet"/>
      </w:pPr>
      <w:r>
        <w:t>Все интерактивные элементы доступны с клавиатуры; видимый focus; подписи полей не заменять одним placeholder.</w:t>
      </w:r>
    </w:p>
    <w:p>
      <w:pPr>
        <w:pStyle w:val="ListBullet"/>
      </w:pPr>
      <w:r>
        <w:t>Формы тестируются с desktop и mobile, с UTM/yclid, ошибкой сети и повторной отправкой.</w:t>
      </w:r>
    </w:p>
    <w:p>
      <w:pPr>
        <w:pStyle w:val="ListBullet"/>
      </w:pPr>
      <w:r>
        <w:t>Сохранить резервную копию проекта Tilda перед заменой действующего сайта; домен переключать после контрольной приёмки.</w:t>
      </w:r>
    </w:p>
    <w:p>
      <w:pPr>
        <w:pStyle w:val="Heading1"/>
      </w:pPr>
      <w:r>
        <w:t>12. Критерии приёмки</w:t>
      </w:r>
    </w:p>
    <w:p>
      <w:pPr>
        <w:pStyle w:val="ListBullet"/>
      </w:pPr>
      <w:r>
        <w:t>Все согласованные блоки и страницы собраны, порядок соответствует ТЗ.</w:t>
      </w:r>
    </w:p>
    <w:p>
      <w:pPr>
        <w:pStyle w:val="ListBullet"/>
      </w:pPr>
      <w:r>
        <w:t>Тексты, изображения, цифры, контакты и документы подтверждены заказчиком.</w:t>
      </w:r>
    </w:p>
    <w:p>
      <w:pPr>
        <w:pStyle w:val="ListBullet"/>
      </w:pPr>
      <w:r>
        <w:t>Формы доставляют тестовые заявки на утверждённый адрес и сохраняют источник.</w:t>
      </w:r>
    </w:p>
    <w:p>
      <w:pPr>
        <w:pStyle w:val="ListBullet"/>
      </w:pPr>
      <w:r>
        <w:t>Цели Метрики фиксируются один раз; персональные данные в события не попадают.</w:t>
      </w:r>
    </w:p>
    <w:p>
      <w:pPr>
        <w:pStyle w:val="ListBullet"/>
      </w:pPr>
      <w:r>
        <w:t>Нет горизонтального скролла, обрезанных заголовков и неработающих ссылок на 360–1440 px.</w:t>
      </w:r>
    </w:p>
    <w:p>
      <w:pPr>
        <w:pStyle w:val="ListBullet"/>
      </w:pPr>
      <w:r>
        <w:t>Title, Description, H1, canonical, OG и favicon заполнены; старые URL перенаправлены.</w:t>
      </w:r>
    </w:p>
    <w:p>
      <w:pPr>
        <w:pStyle w:val="ListBullet"/>
      </w:pPr>
      <w:r>
        <w:t>Опубликованы политика, согласие, cookie-механика и обязательные юридические сведения.</w:t>
      </w:r>
    </w:p>
    <w:p>
      <w:pPr>
        <w:pStyle w:val="ListBullet"/>
      </w:pPr>
      <w:r>
        <w:t>Заказчику переданы доступы, карта форм/целей и инструкция по обновлению материалов.</w:t>
      </w:r>
    </w:p>
    <w:p>
      <w:pPr>
        <w:pStyle w:val="Heading1"/>
      </w:pPr>
      <w:r>
        <w:t>13. Вне объёма</w:t>
      </w:r>
    </w:p>
    <w:p>
      <w:r>
        <w:t>Фотосъёмка, видеосъёмка, создание логотипа, регулярное SEO/ведение рекламы, платные сервисы, CRM, телефония, юридическая экспертиза и новые функции сверх согласованной структуры выполняются отдельно.</w:t>
      </w:r>
    </w:p>
    <w:p>
      <w:pPr>
        <w:pStyle w:val="Heading1"/>
      </w:pPr>
      <w:r>
        <w:t>14. Источники</w:t>
      </w:r>
    </w:p>
    <w:p>
      <w:pPr>
        <w:pStyle w:val="ListBullet"/>
      </w:pPr>
      <w:r>
        <w:t>Коммерческое предложение «Доктор Юдин. Лендинги».</w:t>
      </w:r>
    </w:p>
    <w:p>
      <w:pPr>
        <w:pStyle w:val="ListBullet"/>
      </w:pPr>
      <w:r>
        <w:t>Заявка №4 от 15.07.2026.</w:t>
      </w:r>
    </w:p>
    <w:p>
      <w:pPr>
        <w:pStyle w:val="ListBullet"/>
      </w:pPr>
      <w:r>
        <w:t>Основной сайт: https://yudinclinic.ru/.</w:t>
      </w:r>
    </w:p>
    <w:p>
      <w:pPr>
        <w:pStyle w:val="ListBullet"/>
      </w:pPr>
      <w:r>
        <w:t>Действующий сайт проекта — для контент-аудита; спорные сведения не переносятся без подтверждения.</w:t>
      </w:r>
    </w:p>
    <w:p>
      <w:pPr>
        <w:pStyle w:val="ListBullet"/>
      </w:pPr>
      <w:r>
        <w:t>Документация Tilda Help Center и библиотека стандартных блоков.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Рабочая версия · 16.07.2026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nrope" w:hAnsi="Manrope"/>
        <w:color w:val="3D5445"/>
        <w:sz w:val="16"/>
      </w:rPr>
      <w:t>КЛИНИКА ЮДИНА  /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nrope" w:hAnsi="Manrope"/>
      <w:color w:val="3D3D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nrope" w:hAnsi="Manrope"/>
      <w:b/>
      <w:bCs/>
      <w:color w:val="3D54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nrope" w:hAnsi="Manrope"/>
      <w:b/>
      <w:bCs/>
      <w:color w:val="3D3D3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nrope" w:hAnsi="Manrope"/>
      <w:b/>
      <w:bCs/>
      <w:color w:val="3D54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nrope" w:hAnsi="Manrope"/>
      <w:b/>
      <w:color w:val="3D54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