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</w:pPr>
      <w:r>
        <w:rPr>
          <w:rFonts w:ascii="Calibri" w:hAnsi="Calibri"/>
          <w:b/>
          <w:color w:val="3D5445"/>
          <w:sz w:val="28"/>
        </w:rPr>
        <w:t>BMJO</w:t>
      </w:r>
    </w:p>
    <w:p>
      <w:pPr>
        <w:spacing w:after="160"/>
      </w:pPr>
      <w:r>
        <w:rPr>
          <w:rFonts w:ascii="Calibri" w:hAnsi="Calibri"/>
          <w:b/>
          <w:color w:val="3D3D39"/>
          <w:sz w:val="56"/>
        </w:rPr>
        <w:t>ТЕХНИЧЕСКОЕ ЗАДАНИЕ</w:t>
      </w:r>
    </w:p>
    <w:p>
      <w:pPr>
        <w:spacing w:after="440"/>
      </w:pPr>
      <w:r>
        <w:rPr>
          <w:rFonts w:ascii="Calibri" w:hAnsi="Calibri"/>
          <w:color w:val="5F5F5B"/>
          <w:sz w:val="30"/>
        </w:rPr>
        <w:t>Новая версия экспертного сайта на Tilda: концепция, методология и клинические случаи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Проект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Экосистема доктора Юдина / BMJO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Формат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3 страницы на Tilda, стандартные блоки; Zero Block только после отдельного согласования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Версия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1.0 от 16 июля 2026 г.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Основание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Коммерческое предложение и Заявка № 4 от 15 июля 2026 г.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Срок этапа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3 недели согласно Заявке № 4 при своевременной передаче материалов и согласований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Статус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Для согласования структуры, материалов и функциональных требований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6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3D5445"/>
                <w:sz w:val="22"/>
              </w:rPr>
              <w:t>Принятое архитектурное решение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3D3D39"/>
                <w:sz w:val="22"/>
              </w:rPr>
              <w:t>Вариант А: 1) главная — концепция BMJO; 2) методология и применение; 3) клинические случаи и результаты. Сайт не дублирует услуги, цены и медицинские программы Клиники Юдина, а объясняет подход и направляет пользователя на релевантные страницы yudinclinic.ru.</w:t>
            </w:r>
          </w:p>
        </w:tc>
      </w:tr>
    </w:tbl>
    <w:p>
      <w:pPr>
        <w:spacing w:after="40"/>
      </w:pPr>
    </w:p>
    <w:p>
      <w:pPr>
        <w:spacing w:after="0" w:line="300" w:lineRule="auto"/>
      </w:pPr>
      <w:r>
        <w:rPr>
          <w:rFonts w:ascii="Calibri" w:hAnsi="Calibri"/>
          <w:i/>
          <w:color w:val="5F5F5B"/>
          <w:sz w:val="22"/>
        </w:rPr>
        <w:t>Дизайн документа: compact_reference_guide; фирменное отклонение — синий цвет заголовков заменён на зелёный #3D5445 из дизайн-системы Клиники Юдина.</w:t>
      </w:r>
    </w:p>
    <w:p>
      <w:r>
        <w:br w:type="page"/>
      </w:r>
    </w:p>
    <w:p>
      <w:pPr>
        <w:pStyle w:val="Heading1"/>
        <w:keepNext/>
      </w:pPr>
      <w:r>
        <w:t>1. Назначение документа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ТЗ фиксирует состав трёх страниц BMJO, цели каждого блока, рекомендуемые стандартные блоки Tilda, содержание, материалы, целевые действия, интеграции, SEO, аналитику, адаптивность и критерии приёмки.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Статическое превью является визуальной интерпретацией ТЗ. Метки в превью показывают номера блоков Tilda, которые рекомендуется использовать при сборке.</w:t>
      </w:r>
    </w:p>
    <w:p>
      <w:pPr>
        <w:pStyle w:val="Heading1"/>
        <w:keepNext/>
      </w:pPr>
      <w:r>
        <w:t>2. Контекст, роль и границы проекта</w:t>
      </w:r>
    </w:p>
    <w:p>
      <w:pPr>
        <w:pStyle w:val="Heading2"/>
        <w:keepNext/>
      </w:pPr>
      <w:r>
        <w:t>2.1. Роль BMJO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BMJO — отдельная экспертная площадка, посвящённая концепции доктора Дмитрия Юдина, логике клинического мышления и результатам применения подхода. Сайт должен усиливать экспертность, формировать доверие и давать дополнительные релевантные входы из поиска и рекламы.</w:t>
      </w:r>
    </w:p>
    <w:p>
      <w:pPr>
        <w:pStyle w:val="Heading2"/>
        <w:keepNext/>
      </w:pPr>
      <w:r>
        <w:t>2.2. Что сайт должен объяснить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Что такое BMJO, как расшифровывается и почему концепция появилась.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Почему состояние ВНЧС нельзя оценивать изолированно от прикуса, мышц, нервной системы и реабилитации.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собираются и сопоставляются диагностические данные.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формируется индивидуальная клиническая картина и последовательность решений.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контролируется динамика и по каким критериям переходят между этапами.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концепция применяется в конкретных клинических ситуациях.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BMJO связано с Клиникой доктора Юдина и медицинскими услугами клиники.</w:t>
      </w:r>
    </w:p>
    <w:p>
      <w:pPr>
        <w:pStyle w:val="Heading2"/>
        <w:keepNext/>
      </w:pPr>
      <w:r>
        <w:t>2.3. Что не дублируется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Подробные описания медицинских процедур и программ лечения.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Актуальные цены, состав консультаций и медицинские услуги.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Полные страницы направлений лечения, уже представленные на yudinclinic.ru.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Каталог врачей и общая информация о клинике сверх краткой связующей презентации.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6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3D5445"/>
                <w:sz w:val="22"/>
              </w:rPr>
              <w:t>Правило контентного разделения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3D3D39"/>
                <w:sz w:val="22"/>
              </w:rPr>
              <w:t>BMJO объясняет концепцию, логику и доказательства. Клиника объясняет медицинские услуги, показания, стоимость и порядок записи. В каждом релевантном блоке BMJO должна быть смысловая ссылка на конкретную страницу yudinclinic.ru, а не только на главную.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Цели и показатели успеха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560"/>
        <w:gridCol w:w="270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Проверяемый результат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Основная метрика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Понять концепцию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Пользователь может своими словами объяснить, чем BMJO отличается от набора отдельных процедур.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Доскролл до методологии; переход на страницу методологии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Подтвердить экспертность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Пользователь видит автора, патенты, документы и клинические случаи.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Просмотр документов; переходы к кейсам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Получить обращение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Форма BMJO отправляет письмо на согласованный адрес; доступна альтернативная запись через клинику.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Успешная отправка формы; клик «Записаться через клинику»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Поддержать рекламу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Страница продолжает смысл объявления и сохраняет UTM/yclid.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Конверсия по источникам и рекламным группам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Поддержать SEO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Три страницы индексируются, имеют уникальные метаданные и корректную H-структуру.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Индексация, показы, небрендовый трафик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Аудитории и пользовательские сценарии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700"/>
        <w:gridCol w:w="3000"/>
        <w:gridCol w:w="18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Аудитория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Потребность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Маршрут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Целевое действие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Пациент со сложной симптоматикой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Понять, почему предыдущие подходы могли не сработать.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Реклама/поиск → Концепция → Методология → форма.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Отправить заявку BMJO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Пациент с диагнозом ВНЧС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Понять комплексный принцип диагностики и лечения.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Поиск → Методология → релевантная услуга клиники.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Перейти на yudinclinic.ru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Пациент с лицевой болью или нарушением чувствительности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Увидеть междисциплинарную логику и похожие случаи.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Реклама → Клинические случаи → форма.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Запросить консультацию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Врач/специалист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Оценить методологию, документы и область применения.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Брендовый поиск → Концепция → Методология/документы.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Изучить материалы; связаться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Партнёр/СМИ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Подтвердить авторство, статус и практическое применение.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Прямая ссылка → Автор → документы → контакты.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Обращение по email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Информационная архитектура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4200"/>
        <w:gridCol w:w="18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Страница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Основной CTA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Концепция BMJO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Центральная презентация подхода, автора и доказательной базы.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Обсудить клиническую ситуацию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Методология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/methodology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Последовательность сбора данных, клинических решений и контроля динамики.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Запросить индивидуальный разбор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Клинические случаи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/cases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Практическое применение BMJO: исходная ситуация, тактика, этапы и результаты.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Записаться на консультацию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Политика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/policy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Политика конфиденциальности для оператора BMJO.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Согласие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/consent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Согласие на обработку персональных данных.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Спасибо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/thanks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Подтверждение отправки и следующие шаги; noindex.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Перейти на сайт клиники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Визуальная система</w:t>
      </w:r>
    </w:p>
    <w:p>
      <w:pPr>
        <w:pStyle w:val="Heading2"/>
        <w:keepNext/>
      </w:pPr>
      <w:r>
        <w:t>6.1. Основа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Использовать типографику, цвета, ритм, радиусы, характер карточек и логотип Клиники Юдина. BMJO сохраняет собственный знак, но визуально читается как часть единой экосистемы.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100"/>
        <w:gridCol w:w="51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Применение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Шрифт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Manrope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Все заголовки, основной текст, меню, формы и подписи.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Основной текст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#3D3D39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Заголовки, основной текст, тёмные элементы.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Вторичный текст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#5F5F5B / #777772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Пояснения, подписи, метаданные.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Зелёный акцент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#3D5445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Кнопки, ссылки, активные состояния, пиктограммы.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Светлая подложка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#F6F8F6 / #F8F8F6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Чередование секций, карточки, поля.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Золотистый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#F0D9A0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Редкий акцент на тёмном фоне; не использовать как основной цвет текста.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Радиусы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8 / 16 / 32 px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Кнопки / карточки и поля / крупные фото и панели.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6.2. Типографика и сетка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Контейнер до 1440 px; горизонтальные поля адаптивные: 80 px desktop, 32 px tablet, 16 px mobile.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H1: 48–78 px desktop, 40–48 px tablet, 31–38 px mobile; line-height около 1,14.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H2: 34–54 px desktop, 28–38 px mobile; основной текст 15–17 px.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Не более 65–75 знаков в строке для длинного текста.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Секции отделяются не декоративными линиями, а ритмом, подложкой и сменой масштаба.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Медицинские изображения не ретушировать так, чтобы менялся клинический смысл.</w:t>
      </w:r>
    </w:p>
    <w:p>
      <w:pPr>
        <w:pStyle w:val="Heading1"/>
        <w:keepNext/>
      </w:pPr>
      <w:r>
        <w:t>7. Общие блоки всех страниц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100"/>
        <w:gridCol w:w="4600"/>
        <w:gridCol w:w="21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Tilda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Содержание и поведение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Материалы/настройки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Шапка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ME303A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Логотип BMJO + знак клиники; меню: Концепция, Методология, Клинические случаи, Документы/Ограничения, Контакты; телефон; CTA «Записаться». Sticky. На mobile — бургер.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SVG двух логотипов; телефон +7 985 052-33-82; активное состояние текущей страницы.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Попап формы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T754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Резервный короткий сценарий для CTA в шапке: имя, телефон, тема, комментарий, обязательное согласие. Отправка на email.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URL ID: consultation. Сообщение успеха и резервная страница /thanks.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Плавающий контакт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BF905A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Опционально: телефон и Telegram. Не использовать WhatsApp без подтверждённого номера и согласования.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Показывать после 25% скролла; не перекрывать cookie и форму.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Футер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FT305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Логотипы, навигация BMJO, ссылки на разделы клиники, контакты Бурденко 8/1, режим работы, юридические ссылки, медицинский дисклеймер.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Светлые версии SVG; ссылки policy/consent/cookie; актуальный год.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Cookie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T657 или T123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Уведомление с раздельным согласием на необходимые и аналитические cookie, если Метрика требует согласия по принятой политике.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Текст согласует заказчик/юрист; аналитика запускается по утверждённой схеме.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Страница 1 — Концепция BMJO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URL: /  |  H1: «Смотрим на систему целиком, чтобы найти причину»  |  Задача: объяснить концепцию и довести до изучения методологии, кейсов или обращения.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900"/>
        <w:gridCol w:w="1700"/>
        <w:gridCol w:w="3540"/>
        <w:gridCol w:w="272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Tilda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Секция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Материалы и требования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CR45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Первый экран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BMJO как авторская концепция доктора Юдина; H1, подзаголовок, пояснение связи сустава/прикуса/мышц/нервов; CTA на форму и методологию.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 доктора в клинике 2400×1600; мобильный кроп; alt; без утверждений о гарантированном результате.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NU01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Ключевые параметры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4 показателя: 5 клинических контуров; единая картина; контрольные этапы; запатентованный подход.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Цифры подтверждаются заказчиком; если доказательства нет — заменить на нейтральные факты.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FR208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Проблема фрагментарного лечения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Три карточки: не один симптом, не один специалист, не одно исследование. Показать, зачем нужна системная логика.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 кратких текста по 180–260 знаков; простые линейные иконки SVG.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CL18N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Пять связанных контуров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Сустав, прикус, мышцы, нервы, реабилитация. Каждый элемент — короткое определение и ссылка-якорь/подсказка.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5 терминов и комментарии медицинского редактора; иконки в одном стиле.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HW202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Логика BMJO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Собрать → сопоставить → приоритизировать → выстроить → контролировать. CTA на /methodology.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Тексты шагов до 120 знаков; mobile — вертикальный порядок.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SV102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Автор концепции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Фото, краткая биография Дмитрия Юдина, ключевые специализации и достижения, ссылка на страницу доктора на yudinclinic.ru.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Портрет 1600×1200; утверждённая биография 500–800 знаков; 4 достижения с подтверждением.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SV306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Превью клинических случаев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Три карточки разных клинических маршрутов; диагноз/исходная проблема, 1–2 шага, характер динамики. CTA на /cases.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 1 главному фото; обезличенные тексты; письменные согласия пациентов.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GL20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Патенты и документы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Галерея с полноэкранным просмотром: патенты, сертификаты, научные материалы. Название, дата, тип документа.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Сканы 1600–2400 px; PDF оригиналов; подписи и alt; отбор 6–12 материалов.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TX16N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FAQ о концепции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Что такое BMJO; является ли это процедурой; кому может быть полезен подход; одинаков ли маршрут; где смотреть услуги и цены.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5–7 утверждённых ответов по 300–600 знаков.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BF301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Финальная форма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Форма BMJO с отправкой письма + вторичная кнопка «Записаться через клинику». Поля и юридика — раздел 11.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Согласованный email-получатель; policy/consent; success state.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Страница 2 — Методология и применение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URL: /methodology  |  H1: «Клиническое решение начинается не с процедуры, а с картины целиком»  |  Задача: подробно раскрыть последовательность метода без дублирования медицинских услуг.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900"/>
        <w:gridCol w:w="1700"/>
        <w:gridCol w:w="3540"/>
        <w:gridCol w:w="272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Tilda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Секция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Материалы и требования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TL04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Заголовок страницы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Хлебные крошки, H1, краткое описание: данные → клиническая картина → маршрут → контроль.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Текст 300–500 знаков; уникальный OG 1200×630.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FR208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Основы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4 принципа: данные; взаимосвязи; последовательность; динамика.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4 карточки; утверждение медицинского редактора.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HW202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Маршрут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Жалобы/анамнез → исследования → клиническая карта → маршрут → контроль.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Схема в SVG дополнительно к стандартному таймлайну; mobile — 1 колонка.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SV102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Диагностические данные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Роль клинического осмотра, МРТ, КЛКТ, сканирования, ЭМГ и неврологической оценки. Указать: только по показаниям.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 диагностики; 6 коротких пояснений; ссылки на технологии клиники.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CL18N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Формирование клинической картины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Пять вопросов: что ограничивает функцию; что поддерживает симптом; что делать первым; что измерять; где границы метода.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5–6 карточек; без обещаний результата.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SV102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Роли этапов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Ортезирование, физиотерапия, реабилитация и другие вмешательства объясняются как возможные роли в маршруте, а не обязательный набор.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Короткие аннотации + ссылки на соответствующие страницы клиники.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TX16N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Показания и ограничения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Когда подход может применяться; индивидуальность плана; необязательность всех исследований; отсутствие гарантий; альтернативы.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4–7 ответов, согласованных врачом и юристом.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BF301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Форма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Индивидуальный разбор + альтернативная запись на yudinclinic.ru.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Email-получатель; UTM/yclid; юридическое согласие.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Страница 3 — Клинические случаи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URL: /cases  |  H1: «Не только результат, но и логика клинического решения»  |  Задача: показать применение BMJO доказательно, этично и с понятными ограничениями.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900"/>
        <w:gridCol w:w="1700"/>
        <w:gridCol w:w="3540"/>
        <w:gridCol w:w="272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Tilda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Секция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Материалы и требования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TL04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Заголовок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Назначение страницы и правила чтения кейсов: исходная ситуация, данные, выбор тактики, этапы, динамика, ограничения.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Уникальный текст и OG 1200×630.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SV306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Сетка случаев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Карточки с фильтрующими тегами в тексте: ВНЧС, лицевая боль, тройничный нерв, реабилитация. На первом релизе 3–6 кейсов.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Главное фото 1600×1200 на кейс; краткая аннотация; согласие.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SV102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Исходная ситуация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Возрастная группа, жалобы, ограничения, длительность симптомов, предыдущие попытки лечения — обезличенно.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Без ФИО и идентифицирующих деталей; медицинская редактура.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CL18N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Диагностика и выбор тактики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Какие данные повлияли на решение, какие факторы считались ведущими, почему выбран конкретный маршрут.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Снимки/схемы только с разрешением; подписи специалиста.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HW202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Этапы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Хронология применения BMJO и контрольные точки; 3–6 шагов.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Сроки без обещания универсальности; mobile — вертикально.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NU01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Динамика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Измеримые или проверяемые изменения: боль, функция, чувствительность, сон, активность, срок наблюдения.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Исходные и контрольные показатели; метод измерения.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TS101N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Отзыв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Короткий согласованный отзыв. Обязательно указать, что результат индивидуален.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Письменное согласие на текст, фото и объём раскрытия.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GL20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Фото/видео/исследования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Галерея материалов случая с подписями и alt; видео — через VD04/VD06N при наличии.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6–12 медиа на подробный кейс; постер видео; субтитры.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TX16N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Правила публикации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Что означает срок наблюдения, почему результаты нельзя переносить на всех пациентов, какие были ограничения.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Единый юридический шаблон для всех случаев.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BF301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Форма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CTA «Нужен разбор вашего случая?» + альтернативная запись через клинику.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Email; UTM/yclid; согласие.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10.1. Обязательная карточка данных каждого случая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Исходная клиническая ситуация и основные жалобы.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Функциональные ограничения и длительность симптомов.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Результаты диагностики, имеющие значение для решения.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Факторы, повлиявшие на выбор тактики, и альтернативы.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Этапы применения BMJO и контрольные точки.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Объективная и субъективная динамика, срок наблюдения.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Ограничения случая и предупреждение об индивидуальности результатов.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Согласие пациента на каждый опубликованный тип материала.</w:t>
      </w:r>
    </w:p>
    <w:p>
      <w:r>
        <w:br w:type="page"/>
      </w:r>
    </w:p>
    <w:p>
      <w:pPr>
        <w:pStyle w:val="Heading1"/>
        <w:keepNext/>
      </w:pPr>
      <w:r>
        <w:t>11. Формы, email и целевые действия</w:t>
      </w:r>
    </w:p>
    <w:p>
      <w:pPr>
        <w:pStyle w:val="Heading2"/>
        <w:keepNext/>
      </w:pPr>
      <w:r>
        <w:t>11.1. Основная форма BMJO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400"/>
        <w:gridCol w:w="1600"/>
        <w:gridCol w:w="4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Обязательность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Имя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Текст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2–80 символов; без требования ФИО.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Телефон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Телефон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Маска РФ и возможность международного номера; серверная валидация сервиса Tilda.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Email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Email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Нет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Добавить, если заказчик хочет отвечать письменно.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Тема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Select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ВНЧС и прикус / лицевая боль / лицевой или тройничный нерв / второе мнение / другое.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Комментарий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Textarea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Нет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Не запрашивать диагнозы и избыточные медицинские данные без отдельного решения по обработке специальных категорий ПДн.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Согласие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Checkbox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Ссылки на policy и consent открываются в новой вкладке; поле не предзаполнено.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UTM/yclid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Hidden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Авто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utm_source, utm_medium, utm_campaign, utm_content, utm_term, yclid, landing_url, referrer.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11.2. Доставка письма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Подключить стандартный сервис Tilda «Email» к каждой форме. Адрес получателя заказчик сообщает до сборки; в ТЗ он обозначен как EMAIL_TO_BE_CONFIRMED.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Название формы должно включать страницу и место: BMJO_HOME_HERO, BMJO_HOME_BOTTOM, BMJO_METHOD_BOTTOM, BMJO_CASES_BOTTOM, BMJO_POPUP_HEADER.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Тема письма: «BMJO — новая заявка — {topic} — {utm_source}».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Сохранение заявки в Tilda Leads включить как резервный канал, если это допускается политикой заказчика.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После отправки показать сообщение успеха без медицинских обещаний; при необходимости выполнить переход на /thanks.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Настроить уведомление об ошибке и резервную ссылку tel:+79850523382.</w:t>
      </w:r>
    </w:p>
    <w:p>
      <w:pPr>
        <w:pStyle w:val="Heading2"/>
        <w:keepNext/>
      </w:pPr>
      <w:r>
        <w:t>11.3. Альтернативная запись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Рядом с основной формой и в сообщении об успехе разместить вторичную кнопку «Записаться через Клинику Юдина» со ссылкой на актуальную страницу записи/контактов yudinclinic.ru. Ссылка открывается в новой вкладке, UTM-параметры экосистемы сохраняются по согласованной схеме.</w:t>
      </w:r>
    </w:p>
    <w:p>
      <w:pPr>
        <w:pStyle w:val="Heading1"/>
        <w:keepNext/>
      </w:pPr>
      <w:r>
        <w:t>12. SEO-требования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800"/>
        <w:gridCol w:w="3160"/>
        <w:gridCol w:w="180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H1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6"/>
              </w:rPr>
              <w:t>/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BMJO — концепция комплексного лечения ВНЧС доктора Юдина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Что такое BMJO: взаимосвязь ВНЧС, прикуса, мышц и нервной системы, методология, клинические случаи и запись на консультацию.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Смотрим на систему целиком, чтобы найти причину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6"/>
              </w:rPr>
              <w:t>/methodology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Методология BMJO — диагностика, клинические решения и контроль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Как в BMJO собирают и сопоставляют данные, формируют индивидуальную клиническую картину, определяют этапы и оценивают динамику.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Клиническое решение начинается не с процедуры, а с картины целиком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6"/>
              </w:rPr>
              <w:t>/cases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Клинические случаи BMJO — применение и результаты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Примеры применения BMJO: исходная ситуация, диагностика, выбор тактики, этапы лечения, контрольные точки, динамика и ограничения.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Не только результат, но и логика клинического решения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Один H1 на страницу; H2/H3 отражают смысловую иерархию, а не визуальный размер.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ЧПУ латиницей: /methodology, /cases; единый вариант со слешем или без и 301-редиректы.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Canonical на саму страницу; Open Graph 1200×630 для каждой страницы.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robots.txt, sitemap.xml и индексация проверяются после подключения домена.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Schema.org: Organization/MedicalOrganization для связи с клиникой, Person для автора, BreadcrumbList; MedicalWebPage — только после проверки специалистом.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Изображения получают содержательные alt; декоративные изображения — пустой alt.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Ссылки на клинику должны вести на релевантные страницы ВНЧС, врача, кейсов, технологий и записи.</w:t>
      </w:r>
    </w:p>
    <w:p>
      <w:pPr>
        <w:pStyle w:val="Heading1"/>
        <w:keepNext/>
      </w:pPr>
      <w:r>
        <w:t>13. Аналитика и реклама</w:t>
      </w:r>
    </w:p>
    <w:p>
      <w:pPr>
        <w:pStyle w:val="Heading2"/>
        <w:keepNext/>
      </w:pPr>
      <w:r>
        <w:t>13.1. Яндекс.Метрика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Подключить существующий или отдельный счётчик по решению заказчика. Вебвизор, карты и сбор данных включать в соответствии с политикой обработки данных и cookie-согласием.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2700"/>
        <w:gridCol w:w="36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Рекомендуемая цель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Параметры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Успешная отправка формы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bmjo_form_success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page, form_name, topic, utm_source, utm_campaign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Открытие формы/попапа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bmjo_form_open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page, trigger_location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Клик на запись в клинике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bmjo_clinic_booking_click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page, block, target_url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Клик по телефону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bmjo_phone_click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page, block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Переход на методологию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bmjo_methodology_click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source_page, block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Открытие кейса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bmjo_case_open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case_id, source_page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Открытие документа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bmjo_document_open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document_id, document_type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Доскролл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bmjo_scroll_50 / 90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13.2. Рекламные параметры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Сохранять UTM-метки и yclid до отправки формы; передавать в письмо и Tilda Leads.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Подготовить якорные URL для релевантных блоков, если рекламная кампания ведёт не на первый экран.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Для брендовых запросов использовать главную; для методологических запросов — /methodology; для запросов о сложных случаях и результатах — /cases.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После запуска выполнить тестовый переход по рекламной ссылке и проверить письмо, Метрику, цель и сохранение параметров.</w:t>
      </w:r>
    </w:p>
    <w:p>
      <w:pPr>
        <w:pStyle w:val="Heading1"/>
        <w:keepNext/>
      </w:pPr>
      <w:r>
        <w:t>14. Юридические и медицинские требования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Указать оператора персональных данных BMJO и разместить отдельные документы policy/consent либо юридически корректно связать их с оператором клиники.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Не собирать избыточные сведения о здоровье в открытой форме без отдельной правовой оценки обработки специальных категорий персональных данных.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 страницах и у кейсов разместить предупреждение: результаты индивидуальны; информация не заменяет консультацию; имеются противопоказания.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Не использовать формулировки «гарантированный результат», «100%», «единственный способ», «вылечим всех» и недоказанные превосходные степени.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Для фото, видео, отзывов, снимков и истории пациента получить письменное согласие с перечислением каналов и срока публикации.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Обезличить ФИО, точную дату рождения, даты лечения и другие сведения, позволяющие идентифицировать пациента, если на них нет отдельного согласия.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Все медицинские формулировки перед публикацией утверждает назначенный врач/медицинский редактор.</w:t>
      </w:r>
    </w:p>
    <w:p>
      <w:pPr>
        <w:pStyle w:val="Heading1"/>
        <w:keepNext/>
      </w:pPr>
      <w:r>
        <w:t>15. Адаптивность и доступность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Проверить 320, 375, 480, 640, 960, 1200 и 1440 px; все стандартные блоки настроить отдельно для desktop/tablet/mobile.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 mobile: одна колонка для карточек и этапов; кнопки не уже 100% контейнера при длинном тексте; минимальная зона нажатия 44×44 px.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Ключевой текст не размещать поверх неконтрастных частей фото; контраст WCAG AA для обычного текста.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Меню доступно с клавиатуры; focus-состояния видимы; формы имеют подписи, обязательность и понятные ошибки.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Галереи и аккордеоны использовать из доступных стандартных блоков Tilda; не подменять смысл картинкой без alt.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Видео снабдить субтитрами или текстовой расшифровкой; автозапуск со звуком запрещён.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Ограничить тяжёлые изображения: WebP/AVIF, lazy loading, размер исходника до 10 МБ; фактическая загрузка первого экрана целево до 500–700 КБ.</w:t>
      </w:r>
    </w:p>
    <w:p>
      <w:r>
        <w:br w:type="page"/>
      </w:r>
    </w:p>
    <w:p>
      <w:pPr>
        <w:pStyle w:val="Heading1"/>
        <w:keepNext/>
      </w:pPr>
      <w:r>
        <w:t>16. Реестр необходимых материалов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200"/>
        <w:gridCol w:w="2800"/>
        <w:gridCol w:w="1900"/>
        <w:gridCol w:w="18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Материал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Количество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Технические требования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Использование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Источник/статус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Логотип BMJO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SVG + PNG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Вектор, светлая/тёмная версия при наличии.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Шапка, футер, favicon/OG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 / найден на сайте клиники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Логотип Клиники Юдина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2 SVG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Основной и светлый знак.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Шапка, футер, связующие блоки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Сайт клиники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Favicon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3–4 файла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SVG; PNG 32, 192, 180 px.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Сайт и мобильные закладки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Подготовить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OG-изображения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1200×630 JPG/WebP, до 500 КБ.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 одному на страницу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Подготовить по макету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Hero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2 кропа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2400×1600 desktop; 1080×1350 mobile; WebP/JPG.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Главная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 клиники / новая съёмка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Фото Дмитрия Юдина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3–5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Не менее 1600 px по длинной стороне; единая цветокоррекция.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Hero, автор, методология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Страница доктора / оригиналы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Биография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текст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500–800 знаков + 4–6 подтверждённых достижений.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Блок автора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Утвердить у доктора/PR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Описание BMJO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пакет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Расшифровка, происхождение, задачи, принципы, границы.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Главная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Медицинский редактор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Методология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пакет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Этапы, исследования, критерии перехода и контроля, ограничения.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Методология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Доктор Юдин / редактор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Схема системы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SVG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Сустав–прикус–мышцы–нервы–реабилитация; адаптивная.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Главная/методология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Дизайнер после утверждения логики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Клинические случаи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 минимум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На каждый: структурированная карточка данных и срок наблюдения.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Страница кейсов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Врачи / медицинский редактор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Медиа кейсов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6–12 на кейс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Фото, видео, снимки, исследования; WebP/JPG/MP4/PDF.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Кейсы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 + согласия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Согласия пациентов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на кейс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Фото, видео, текст, медицинские сведения, каналы и срок.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Юридический архив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Заказчик/юрист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Патенты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1–3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PDF + превью 1600–2400 px; номер, дата, название.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Документы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Сертификаты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6–12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Скан без бликов, 1600–2400 px; дата и организация.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Документы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Страница доктора / оригиналы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Научные публикации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3–10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Название, авторы, журнал, год, DOI/ссылка/PDF.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Документы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Видео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0–5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MP4/хостинг, 1080p, постер, субтитры.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Методология/кейсы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Контакты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набор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+7 985 052-33-82; Бурденко 8/1; режим; подтверждённый email формы.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Шапка, формы, футер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Email требуется подтвердить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Юридические тексты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3–4 страницы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Policy, consent, cookie, пользовательское соглашение.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Сервисные страницы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Юрист заказчика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16.1. Правила передачи файлов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Имена файлов — латиницей, нижний регистр, без пробелов: bmjo-hero-desktop.webp, case-01-before.jpg.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Фото: sRGB, WebP/JPEG, качество 80–88; исходники передаются отдельно от оптимизированных копий.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Документы: PDF + JPG/WebP-превью; в таблице материалов указываются название, дата, тип и разрешение на публикацию.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Для каждого медицинского изображения передаётся подпись, alt-текст или данные для его подготовки.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Материалы складываются по папкам 00_brand, 01_home, 02_methodology, 03_cases, 04_documents, 05_legal.</w:t>
      </w:r>
    </w:p>
    <w:p>
      <w:pPr>
        <w:pStyle w:val="Heading1"/>
        <w:keepNext/>
      </w:pPr>
      <w:r>
        <w:t>17. Техническая реализация на Tilda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Использовать стандартные блоки, перечисленные в ТЗ. Zero Block допускается только при невозможности реализовать согласованный элемент стандартным блоком и после отдельного согласования.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Шапку и футер оформить отдельными страницами и назначить через Настройки сайта → Шапка и подвал.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Глобальные шрифты и цвета задать в настройках сайта; не дублировать стили вручную в каждом блоке без необходимости.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Формы подключить к сервису Email и резервному хранению лидов; проверить каждую форму отдельно.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Настроить домен, HTTPS, favicon, OG, 404, robots, sitemap, canonical и редиректы со старых URL.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Старый bmjo.ru переключать только после приёмки, резервной копии и карты редиректов.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Статическое превью является визуальным ориентиром, а не HTML-кодом для вставки целиком в Tilda.</w:t>
      </w:r>
    </w:p>
    <w:p>
      <w:pPr>
        <w:pStyle w:val="Heading1"/>
        <w:keepNext/>
      </w:pPr>
      <w:r>
        <w:t>18. Карта редиректов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Перед публикацией выгрузить полный список индексируемых URL старого bmjo.ru. Минимально проверить следующие маршруты: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2500"/>
        <w:gridCol w:w="40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Старый URL/раздел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Новый URL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/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Главная на главную.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/gette-yudin/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/#author или страница доктора клиники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Предпочтительно 301 на релевантный блок/страницу.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/sertifikaty/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/#documents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Если якорный редирект технически нежелателен — на / с блоком документов выше формы.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Старые якоря #work/#physio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/methodology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Проверить входящие ссылки и рекламные кампании.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Тестирование и критерии приёмки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Все 3 страницы и сервисные страницы опубликованы по согласованным URL; шапка и футер единообразны.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Каждый блок соответствует ТЗ по назначению, содержанию, CTA и рекомендованному блоку Tilda либо имеет согласованную замену.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 разрешениях 320–1440 px нет горизонтального скролла, обрезки текста, наложений и недоступных кнопок.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Все формы проходят валидацию, отправляют письмо на согласованный адрес, сохраняют UTM/yclid и показывают корректный success/error state.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Альтернативная кнопка записи открывает актуальную страницу Клиники Юдина.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Яндекс.Метрика получает события из раздела 13; тестовые цели видны в отладке и отчётах.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Title, description, H1, canonical, OG, robots и sitemap настроены; /thanks закрыта от индексации.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Все ссылки, телефоны, документы, галереи, видео и якоря проверены; нет 404 и небезопасного mixed content.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Фото пациентов и медицинские сведения опубликованы только после проверки согласий и обезличивания.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Медицинские тексты, дисклеймеры и юридические документы утверждены ответственными лицами заказчика.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Время загрузки и вес первого экрана проверены; тяжёлые изображения оптимизированы и загружаются отложенно ниже первого экрана.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Перед переключением домена создана резервная копия и проверена карта 301-редиректов.</w:t>
      </w:r>
    </w:p>
    <w:p>
      <w:pPr>
        <w:pStyle w:val="Heading1"/>
        <w:keepNext/>
      </w:pPr>
      <w:r>
        <w:t>20. Не входит без отдельного согласования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Создание новых медицинских услуг, цен, рекламных кампаний с нуля и регулярное SEO-продвижение.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Фотосъёмка, видеосъёмка, разработка логотипа и полноценного фирменного стиля.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Сложная CRM, телефония, коллтрекинг, медицинская информационная система и интеграции, не описанные в Заявке.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Личный кабинет, онлайн-оплата, медицинская карта пациента, загрузка медицинских документов через форму.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Публикация материалов без разрешений, медицинского согласования или юридической проверки.</w:t>
      </w:r>
    </w:p>
    <w:p>
      <w:pPr>
        <w:pStyle w:val="Heading1"/>
        <w:keepNext/>
      </w:pPr>
      <w:r>
        <w:t>21. Источники и референсы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Коммерческое предложение «Разработка новых версий лендингов…», проект «Экосистема доктора Юдина».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Заявка № 4 от 15 июля 2026 г. к Договору от 01 марта 2026 г.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Основной сайт: https://yudinclinic.ru/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Страница доктора: https://yudinclinic.ru/about/doctor-yudin/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Методики и технологии: https://yudinclinic.ru/about/tekhnologii/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Истории пациентов: https://yudinclinic.ru/about/kejsy/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Документы: https://yudinclinic.ru/pacientam/dokumenty/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Действующий BMJO: https://bmjo.ru/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Справка Tilda по формам, шапке/футеру, доступности и стандартным блокам.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D9A0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3D5445"/>
                <w:sz w:val="22"/>
              </w:rPr>
              <w:t>Открытый параметр перед сборкой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3D3D39"/>
                <w:sz w:val="22"/>
              </w:rPr>
              <w:t>Требуется подтвердить email-получатель заявок BMJO и ответственное лицо, которое будет получать тестовые письма и подтверждать корректность доставки. До подтверждения используется обозначение EMAIL_TO_BE_CONFIRMED.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5F5B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5F5B"/>
        <w:sz w:val="18"/>
      </w:rPr>
      <w:t>BMJO  /  Техническое задание на разработку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3D3D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D54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D54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D54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