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ubtitle"/>
      </w:pPr>
      <w:r>
        <w:rPr/>
        <w:t xml:space="preserve">ТЕСТОВЫЙ МАТЕРИАЛ · ЭТАП 1</w:t>
      </w:r>
    </w:p>
    <w:p>
      <w:pPr>
        <w:pStyle w:val="Title"/>
      </w:pPr>
      <w:r>
        <w:rPr/>
        <w:t xml:space="preserve">Публикация инструкции в базе знаний MaxSoft</w:t>
      </w:r>
    </w:p>
    <w:p>
      <w:pPr>
        <w:pStyle w:val="Subtitle"/>
      </w:pPr>
      <w:r>
        <w:rPr/>
        <w:t xml:space="preserve">Документ для демонстрации импорта DOCX · 16 сентября 2026</w:t>
      </w:r>
    </w:p>
    <w:p>
      <w:pPr/>
      <w:r>
        <w:rPr/>
        <w:t xml:space="preserve">Этот файл содержит искусственные данные и используется для проверки переноса текста и оформления в статью. Он не является технической инструкцией к продуктам MaxSoft и не содержит персональных данных.</w:t>
      </w:r>
    </w:p>
    <w:p>
      <w:pPr>
        <w:pStyle w:val="Heading1"/>
      </w:pPr>
      <w:r>
        <w:rPr/>
        <w:t xml:space="preserve">1. Подготовка материала</w:t>
      </w:r>
    </w:p>
    <w:p>
      <w:pPr>
        <w:pStyle w:val="Heading2"/>
      </w:pPr>
      <w:r>
        <w:rPr/>
        <w:t xml:space="preserve">1.1. Исходные данные</w:t>
      </w:r>
    </w:p>
    <w:p>
      <w:pPr/>
      <w:r>
        <w:rPr/>
        <w:t xml:space="preserve">Название материала: «Публикация инструкции в базе знаний». Автор демо: «Тестовый автор». Целевая аудитория: сотрудники клиента. При импорте материал должен стать черновиком; публикация выполняется отдельно после проверки.</w:t>
      </w:r>
    </w:p>
    <w:p>
      <w:pPr>
        <w:pStyle w:val="Heading2"/>
      </w:pPr>
      <w:r>
        <w:rPr/>
        <w:t xml:space="preserve">1.2. Контроль оформления</w:t>
      </w:r>
    </w:p>
    <w:p>
      <w:pPr/>
      <w:r>
        <w:rPr>
          <w:b/>
        </w:rPr>
        <w:t xml:space="preserve">Полужирный текст: </w:t>
      </w:r>
      <w:r>
        <w:rPr/>
        <w:t xml:space="preserve">перед публикацией проверьте заголовок и содержание.</w:t>
      </w:r>
    </w:p>
    <w:p>
      <w:pPr/>
      <w:r>
        <w:rPr>
          <w:i/>
        </w:rPr>
        <w:t xml:space="preserve">Курсив: </w:t>
      </w:r>
      <w:r>
        <w:rPr>
          <w:i/>
        </w:rPr>
        <w:t xml:space="preserve">это пояснение к демонстрационному примеру.</w:t>
      </w:r>
    </w:p>
    <w:p>
      <w:pPr/>
      <w:r>
        <w:rPr>
          <w:u w:val="single"/>
        </w:rPr>
        <w:t xml:space="preserve">Подчёркнутый текст: </w:t>
      </w:r>
      <w:r>
        <w:rPr>
          <w:u w:val="single"/>
        </w:rPr>
        <w:t xml:space="preserve">сверьте права доступа.</w:t>
      </w:r>
    </w:p>
    <w:p>
      <w:pPr/>
      <w:r>
        <w:rPr>
          <w:strike/>
        </w:rPr>
        <w:t xml:space="preserve">Зачёркнутый текст: </w:t>
      </w:r>
      <w:r>
        <w:rPr>
          <w:strike/>
        </w:rPr>
        <w:t xml:space="preserve">публикация без предварительной проверки.</w:t>
      </w:r>
    </w:p>
    <w:p>
      <w:pPr/>
      <w:r>
        <w:rPr/>
        <w:t xml:space="preserve">В одном абзаце сочетаются </w:t>
      </w:r>
      <w:r>
        <w:rPr>
          <w:b/>
        </w:rPr>
        <w:t xml:space="preserve">полужирное выделение</w:t>
      </w:r>
      <w:r>
        <w:rPr/>
        <w:t xml:space="preserve">, </w:t>
      </w:r>
      <w:r>
        <w:rPr>
          <w:i/>
        </w:rPr>
        <w:t xml:space="preserve">курсив</w:t>
      </w:r>
      <w:r>
        <w:rPr/>
        <w:t xml:space="preserve"> и обычный текст.</w:t>
      </w:r>
    </w:p>
    <w:p>
      <w:pPr>
        <w:pStyle w:val="Heading2"/>
      </w:pPr>
      <w:r>
        <w:rPr/>
        <w:t xml:space="preserve">1.3. Состав инструкции</w:t>
      </w:r>
    </w:p>
    <w:p>
      <w:pPr>
        <w:numPr>
          <w:ilvl w:val="0"/>
          <w:numId w:val="1"/>
        </w:numPr>
      </w:pPr>
      <w:r>
        <w:rPr/>
        <w:t xml:space="preserve">Краткая цель и описание результата.</w:t>
      </w:r>
    </w:p>
    <w:p>
      <w:pPr>
        <w:numPr>
          <w:ilvl w:val="0"/>
          <w:numId w:val="1"/>
        </w:numPr>
      </w:pPr>
      <w:r>
        <w:rPr/>
        <w:t xml:space="preserve">Последовательность действий пользователя.</w:t>
      </w:r>
    </w:p>
    <w:p>
      <w:pPr>
        <w:numPr>
          <w:ilvl w:val="0"/>
          <w:numId w:val="1"/>
        </w:numPr>
      </w:pPr>
      <w:r>
        <w:rPr/>
        <w:t xml:space="preserve">Таблица проверки и иллюстрация.</w:t>
      </w:r>
    </w:p>
    <w:p>
      <w:pPr>
        <w:numPr>
          <w:ilvl w:val="0"/>
          <w:numId w:val="1"/>
        </w:numPr>
      </w:pPr>
      <w:r>
        <w:rPr/>
        <w:t xml:space="preserve">Ссылка на источник и контрольная фраза.</w:t>
      </w:r>
    </w:p>
    <w:p>
      <w:r>
        <w:br w:type="page"/>
      </w:r>
    </w:p>
    <w:p>
      <w:pPr>
        <w:pStyle w:val="Heading1"/>
      </w:pPr>
      <w:r>
        <w:rPr/>
        <w:t xml:space="preserve">2. Порядок публикации</w:t>
      </w:r>
    </w:p>
    <w:p>
      <w:pPr>
        <w:pStyle w:val="Heading2"/>
      </w:pPr>
      <w:r>
        <w:rPr/>
        <w:t xml:space="preserve">2.1. Последовательность действий</w:t>
      </w:r>
    </w:p>
    <w:p>
      <w:pPr>
        <w:numPr>
          <w:ilvl w:val="0"/>
          <w:numId w:val="2"/>
        </w:numPr>
      </w:pPr>
      <w:r>
        <w:rPr/>
        <w:t xml:space="preserve">Открыть редактор и выбрать импорт DOCX.</w:t>
      </w:r>
    </w:p>
    <w:p>
      <w:pPr>
        <w:numPr>
          <w:ilvl w:val="0"/>
          <w:numId w:val="2"/>
        </w:numPr>
      </w:pPr>
      <w:r>
        <w:rPr/>
        <w:t xml:space="preserve">Выбрать этот файл и дождаться завершения обработки.</w:t>
      </w:r>
    </w:p>
    <w:p>
      <w:pPr>
        <w:numPr>
          <w:ilvl w:val="0"/>
          <w:numId w:val="2"/>
        </w:numPr>
      </w:pPr>
      <w:r>
        <w:rPr/>
        <w:t xml:space="preserve">Проверить текст, заголовки, списки, таблицу, изображение и ссылку.</w:t>
      </w:r>
    </w:p>
    <w:p>
      <w:pPr>
        <w:numPr>
          <w:ilvl w:val="0"/>
          <w:numId w:val="2"/>
        </w:numPr>
      </w:pPr>
      <w:r>
        <w:rPr/>
        <w:t xml:space="preserve">Убедиться, что импортированный материал ещё не опубликован.</w:t>
      </w:r>
    </w:p>
    <w:p>
      <w:pPr>
        <w:numPr>
          <w:ilvl w:val="0"/>
          <w:numId w:val="2"/>
        </w:numPr>
      </w:pPr>
      <w:r>
        <w:rPr/>
        <w:t xml:space="preserve">После проверки выбрать раздел, теги и аудиторию; публикацию выполнять отдельным действием.</w:t>
      </w:r>
    </w:p>
    <w:p>
      <w:pPr>
        <w:pStyle w:val="Heading2"/>
      </w:pPr>
      <w:r>
        <w:rPr/>
        <w:t xml:space="preserve">2.2. Таблица проверки</w:t>
      </w:r>
    </w:p>
    <w:tbl>
      <w:tblPr>
        <w:tblW w:w="9000" w:type="dxa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fill="EAF1F8"/>
          </w:tcPr>
          <w:p>
            <w:pPr/>
            <w:r>
              <w:rPr>
                <w:b/>
              </w:rPr>
              <w:t xml:space="preserve">Элемент</w:t>
            </w:r>
          </w:p>
        </w:tc>
        <w:tc>
          <w:tcPr>
            <w:tcW w:w="3000" w:type="dxa"/>
            <w:shd w:fill="EAF1F8"/>
          </w:tcPr>
          <w:p>
            <w:pPr/>
            <w:r>
              <w:rPr>
                <w:b/>
              </w:rPr>
              <w:t xml:space="preserve">Ожидаемый результат</w:t>
            </w:r>
          </w:p>
        </w:tc>
        <w:tc>
          <w:tcPr>
            <w:tcW w:w="3000" w:type="dxa"/>
            <w:shd w:fill="EAF1F8"/>
          </w:tcPr>
          <w:p>
            <w:pPr/>
            <w:r>
              <w:rPr>
                <w:b/>
              </w:rPr>
              <w:t xml:space="preserve">Приоритет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Текст и заголовки</w:t>
            </w:r>
          </w:p>
        </w:tc>
        <w:tc>
          <w:tcPr>
            <w:tcW w:w="3000" w:type="dxa"/>
          </w:tcPr>
          <w:p>
            <w:pPr/>
            <w:r>
              <w:rPr/>
              <w:t xml:space="preserve">Текст перенесён, уровни заголовков различимы</w:t>
            </w:r>
          </w:p>
        </w:tc>
        <w:tc>
          <w:tcPr>
            <w:tcW w:w="3000" w:type="dxa"/>
          </w:tcPr>
          <w:p>
            <w:pPr/>
            <w:r>
              <w:rPr/>
              <w:t xml:space="preserve">Обязательно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Списки и таблица</w:t>
            </w:r>
          </w:p>
        </w:tc>
        <w:tc>
          <w:tcPr>
            <w:tcW w:w="3000" w:type="dxa"/>
          </w:tcPr>
          <w:p>
            <w:pPr/>
            <w:r>
              <w:rPr/>
              <w:t xml:space="preserve">Маркеры, нумерация и ячейки сохранены</w:t>
            </w:r>
          </w:p>
        </w:tc>
        <w:tc>
          <w:tcPr>
            <w:tcW w:w="3000" w:type="dxa"/>
          </w:tcPr>
          <w:p>
            <w:pPr/>
            <w:r>
              <w:rPr/>
              <w:t xml:space="preserve">Обязательно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Рисунок и ссылка</w:t>
            </w:r>
          </w:p>
        </w:tc>
        <w:tc>
          <w:tcPr>
            <w:tcW w:w="3000" w:type="dxa"/>
          </w:tcPr>
          <w:p>
            <w:pPr/>
            <w:r>
              <w:rPr/>
              <w:t xml:space="preserve">Изображение видно; ссылка открывается</w:t>
            </w:r>
          </w:p>
        </w:tc>
        <w:tc>
          <w:tcPr>
            <w:tcW w:w="3000" w:type="dxa"/>
          </w:tcPr>
          <w:p>
            <w:pPr/>
            <w:r>
              <w:rPr/>
              <w:t xml:space="preserve">Обязательно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Статус материала</w:t>
            </w:r>
          </w:p>
        </w:tc>
        <w:tc>
          <w:tcPr>
            <w:tcW w:w="3000" w:type="dxa"/>
          </w:tcPr>
          <w:p>
            <w:pPr/>
            <w:r>
              <w:rPr/>
              <w:t xml:space="preserve">После импорта — черновик</w:t>
            </w:r>
          </w:p>
        </w:tc>
        <w:tc>
          <w:tcPr>
            <w:tcW w:w="3000" w:type="dxa"/>
          </w:tcPr>
          <w:p>
            <w:pPr/>
            <w:r>
              <w:rPr/>
              <w:t xml:space="preserve">Обязательно</w:t>
            </w:r>
          </w:p>
        </w:tc>
      </w:tr>
    </w:tbl>
    <w:p>
      <w:pPr>
        <w:pStyle w:val="Heading2"/>
      </w:pPr>
      <w:r>
        <w:rPr/>
        <w:t xml:space="preserve">2.3. Иллюстрация</w:t>
      </w:r>
    </w:p>
    <w:p>
      <w:r>
        <w:drawing>
          <wp:inline distT="0" distB="0" distL="0" distR="0">
            <wp:extent cx="5397500" cy="1019528"/>
            <wp:docPr id="1" name="Контрольная схема" descr="Синий, зелёный и жёлтый блоки соединены стрелками: черновик, проверка, публикац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flow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0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Рисунок 1. Черновик → проверка → публикация. Синий, зелёный и жёлтый блоки должны сохраниться как одно изображение.</w:t>
      </w:r>
    </w:p>
    <w:p>
      <w:pPr>
        <w:pStyle w:val="Heading1"/>
      </w:pPr>
      <w:r>
        <w:rPr/>
        <w:t xml:space="preserve">3. Источник и контроль текста</w:t>
      </w:r>
    </w:p>
    <w:p>
      <w:pPr/>
      <w:r>
        <w:rPr/>
        <w:t xml:space="preserve">Демонстрационный портал: </w:t>
      </w:r>
      <w:hyperlink r:id="rIdLink">
        <w:r>
          <w:rPr>
            <w:rStyle w:val="Hyperlink"/>
          </w:rPr>
          <w:t xml:space="preserve">Открыть прототип MaxSoft</w:t>
        </w:r>
      </w:hyperlink>
    </w:p>
    <w:p>
      <w:pPr/>
      <w:r>
        <w:rPr>
          <w:b/>
        </w:rPr>
        <w:t xml:space="preserve">Контрольная фраза: </w:t>
      </w:r>
      <w:r>
        <w:rPr/>
        <w:t xml:space="preserve">Фиолетовый компас МаксСофт 1609.</w:t>
      </w:r>
    </w:p>
    <w:p>
      <w:pPr/>
      <w:r>
        <w:rPr/>
        <w:t xml:space="preserve">Эта фраза встречается только в тексте документа. После реального импорта и индексации её можно использовать для проверки поиска по содержимому, а не по названию статьи.</w:t>
      </w:r>
    </w:p>
    <w:sectPr>
      <w:footerReference w:type="default" r:id="rIdFooter"/>
      <w:pgSz w:w="11906" w:h="16838"/>
      <w:pgMar w:top="1000" w:right="1200" w:bottom="1000" w:left="1200" w:header="500" w:footer="50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MaxSoft · тест импорта DOCX · </w:t>
    </w:r>
    <w:fldSimple w:instr="PAGE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24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63448"/>
        <w:lang w:val="ru-RU"/>
      </w:rPr>
    </w:rPrDefault>
    <w:pPrDefault>
      <w:pPr>
        <w:spacing w:after="120" w:line="2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120" w:after="180"/>
    </w:pPr>
    <w:rPr>
      <w:b/>
      <w:sz w:val="38"/>
      <w:color w:val="225B97"/>
    </w:rPr>
  </w:style>
  <w:style w:type="paragraph" w:styleId="Subtitle">
    <w:name w:val="Subtitle"/>
    <w:basedOn w:val="Normal"/>
    <w:rPr>
      <w:sz w:val="20"/>
      <w:color w:val="607080"/>
    </w:rPr>
  </w:style>
  <w:style w:type="paragraph" w:styleId="Heading1">
    <w:name w:val="heading 1"/>
    <w:basedOn w:val="Normal"/>
    <w:next w:val="Normal"/>
    <w:pPr>
      <w:keepNext/>
      <w:keepLines/>
      <w:spacing w:before="200" w:after="100"/>
      <w:outlineLvl w:val="0"/>
    </w:pPr>
    <w:rPr>
      <w:b/>
      <w:sz w:val="28"/>
      <w:color w:val="225B97"/>
    </w:rPr>
  </w:style>
  <w:style w:type="paragraph" w:styleId="Heading2">
    <w:name w:val="heading 2"/>
    <w:basedOn w:val="Normal"/>
    <w:next w:val="Normal"/>
    <w:pPr>
      <w:keepNext/>
      <w:keepLines/>
      <w:spacing w:before="200" w:after="100"/>
      <w:outlineLvl w:val="1"/>
    </w:pPr>
    <w:rPr>
      <w:b/>
      <w:sz w:val="23"/>
      <w:color w:val="225B97"/>
    </w:rPr>
  </w:style>
  <w:style w:type="paragraph" w:styleId="Caption">
    <w:name w:val="caption"/>
    <w:basedOn w:val="Normal"/>
    <w:rPr>
      <w:i/>
      <w:sz w:val="18"/>
      <w:color w:val="607080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age" Type="http://schemas.openxmlformats.org/officeDocument/2006/relationships/image" Target="media/demo-flow.png"/><Relationship Id="rIdLink" Type="http://schemas.openxmlformats.org/officeDocument/2006/relationships/hyperlink" Target="https://sologle.github.io/maxsoft-platform-prototype/" TargetMode="External"/><Relationship Id="rIdFooter" Type="http://schemas.openxmlformats.org/officeDocument/2006/relationships/footer" Target="footer1.xml"/></Relationships>
</file>