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37"/>
        <w:gridCol w:w="1080"/>
      </w:tblGrid>
      <w:tr>
        <w:trPr>
          <w:trHeight w:val="602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CONSORT Flow Diagram: Consolidated N Values</w:t>
            </w:r>
          </w:p>
        </w:tc>
      </w:tr>
      <w:tr>
        <w:trPr>
          <w:trHeight w:val="602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Stage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1 — INTAKE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SpotSeq test records logged (Jan 2023 – Jan 2026)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Rows excluded: no Patient ID (spacer rows)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Records with valid Patient 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6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Unique patients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2 — RESULT ELIGIBILITY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Records excluded: blank result entry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Records included in analysis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3 — TEST VALIDITY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Cancelled tests (excluded from result analysis)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QNS — quantity not sufficient (excluded from result analysis)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Valid (analyzable: Positive or Negative)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 results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 results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4 — VALID TESTS BY ASSAY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PIK3CA Multiplex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555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5 — VALID TESTS BY SPECIMEN TYPE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 (FFPE Scrolls / non-fluid)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6 — PATIENT ORIGIN (patient-level, all patients)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 at SCH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Externally referred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All N values are derived from canonical analysis variables. Transcribe directly into the manuscript Figure 1 flow diagram.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2026-05-19T15:52:33Z</dcterms:modified>
  <cp:category/>
</cp:coreProperties>
</file>