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37"/>
        <w:gridCol w:w="1080"/>
      </w:tblGrid>
      <w:tr>
        <w:trPr>
          <w:trHeight w:val="602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CONSORT Flow Diagram: Consolidated N Values</w:t>
            </w:r>
          </w:p>
        </w:tc>
      </w:tr>
      <w:tr>
        <w:trPr>
          <w:trHeight w:val="602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Stage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1 — INTAKE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SpotSeq test records logged (Jan 2023 – Jan 2026)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Rows excluded: no Patient ID (spacer rows)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with valid Patient 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2 — RESULT ELIGIBILITY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excluded: blank result entry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Records included in analysis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3 — TEST VALIDITY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 tests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 — quantity not sufficient (excluded from result analysis)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Valid (analyzable: Positive or Negative)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 results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4 — VALID TESTS BY ASSAY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55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3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5 — VALID TESTS BY SPECIMEN TYPE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 (FFPE Scrolls / non-fluid)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41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STAGE 6 — PATIENT ORIGIN (patient-level, all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at SCH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All N values are derived from canonical analysis variables. Transcribe directly into the manuscript Figure 1 flow diagram.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2026-05-22T13:52:13Z</dcterms:modified>
  <cp:category/>
</cp:coreProperties>
</file>