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7"/>
        <w:gridCol w:w="1080"/>
      </w:tblGrid>
      <w:tr>
        <w:trPr>
          <w:trHeight w:val="602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CONSORT Flow Diagram: Consolidated N Values</w:t>
            </w:r>
          </w:p>
        </w:tc>
      </w:tr>
      <w:tr>
        <w:trPr>
          <w:trHeight w:val="602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1 — INTAKE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SpotSeq test records logged (Jan 2023 – Jan 2026)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Rows excluded: no Patient ID (spacer rows)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with valid Patient 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2 — RESULT ELIGIBILITY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excluded: blank result entry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included in analysis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3 — TEST VALIDITY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 tests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 — quantity not sufficient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Valid (analyzable: Positive or Negative)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4 — VALID TESTS BY ASSAY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5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5 — VALID TESTS BY SPECIMEN TYPE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(FFPE Scrolls / non-fluid)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6 — PATIENT ORIGIN (patient-level, all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at SCH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All N values are derived from canonical analysis variables. Transcribe directly into the manuscript Figure 1 flow diagram.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2026-05-26T13:55:49Z</dcterms:modified>
  <cp:category/>
</cp:coreProperties>
</file>