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51"/>
        <w:gridCol w:w="2075"/>
        <w:gridCol w:w="1412"/>
        <w:gridCol w:w="1195"/>
      </w:tblGrid>
      <w:tr>
        <w:trPr>
          <w:trHeight w:val="556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Logistic regression: probability of QNS by fluid volume</w:t>
            </w:r>
          </w:p>
        </w:tc>
      </w:tr>
      <w:tr>
        <w:trPr>
          <w:trHeight w:val="553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 per doubling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Volume only (unadjusted)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[0.42–0.89]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Volume + specimen type (adjusted)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[0.35–0.83]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OR per doubling = multiplicative change in QNS odds per doubling of volume (OR &lt; 1 indicates protective effect). Blood vs. Cyst Fluid (adjusted): OR = 2.96 [0.97–9.87], p = 0.061. Restricted to Blood and Cyst Fluid specimens with volume &gt; 0. n = 140 (17 QNS, 123 Valid).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2026-05-19T15:52:33Z</dcterms:modified>
  <cp:category/>
</cp:coreProperties>
</file>