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1"/>
        <w:gridCol w:w="2075"/>
        <w:gridCol w:w="1412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Logistic regression: probability of QNS by fluid volume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 per doubling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only (unadjusted)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[0.43–0.91]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+ specimen type (adjusted)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[0.36–0.84]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Aspiration-level analysis: one entry per unique patient × volume combination. OR per doubling = multiplicative change in QNS odds per doubling of volume (OR &lt; 1 indicates protective effect). Blood vs. Cyst Fluid (adjusted): OR = 3.07 [1.00–10.31], p = 0.055. Restricted to Blood and Cyst Fluid specimens with measured fluid volume &gt; 0. n = 130 aspirations (17 QNS, 113 Valid).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2026-05-26T13:55:49Z</dcterms:modified>
  <cp:category/>
</cp:coreProperties>
</file>