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3"/>
        <w:gridCol w:w="1880"/>
        <w:gridCol w:w="1353"/>
        <w:gridCol w:w="2313"/>
      </w:tblGrid>
      <w:tr>
        <w:trPr>
          <w:trHeight w:val="59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QNS rate by fluid-volume quartile (Cochran–Armitage trend test: p = 0.008)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Volume Quartile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(Valid + QNS)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QNS,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Volume (mL)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Q1 (0.1–4.0 mL)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(25.7%)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Q2 (4.0–8.0 mL)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(8.6%)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Q3 (8.0–10.0 mL)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(11.4%)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Q4 (10.0–22.0 mL)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(2.9%)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Quartiles defined on the combined valid + QNS pool (n ≈ equal per bin). Trend test assesses whether QNS proportion decreases monotonically with increasing volume. Useful for setting a clinical minimum-volume recommendation.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2026-05-19T15:52:33Z</dcterms:modified>
  <cp:category/>
</cp:coreProperties>
</file>