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3"/>
        <w:gridCol w:w="1880"/>
        <w:gridCol w:w="1353"/>
        <w:gridCol w:w="2313"/>
      </w:tblGrid>
      <w:tr>
        <w:trPr>
          <w:trHeight w:val="590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QNS rate by fluid-volume quartile (Cochran–Armitage trend test: p = 0.008)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Volume Quartile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(Valid + QNS)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QNS, n (%)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Median Volume (mL)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Q1 (0.1–4.0 mL)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 (25.7%)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3.0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Q2 (4.0–8.0 mL)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(8.6%)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6.0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Q3 (8.0–10.0 mL)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(11.4%)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Q4 (10.0–22.0 mL)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(2.9%)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Quartiles defined on the combined valid + QNS pool (n ≈ equal per bin). Trend test assesses whether QNS proportion decreases monotonically with increasing volume. Useful for setting a clinical minimum-volume recommendation.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2026-05-22T13:52:13Z</dcterms:modified>
  <cp:category/>
</cp:coreProperties>
</file>