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43"/>
        <w:gridCol w:w="1880"/>
        <w:gridCol w:w="1353"/>
        <w:gridCol w:w="2313"/>
      </w:tblGrid>
      <w:tr>
        <w:trPr>
          <w:trHeight w:val="590" w:hRule="auto"/>
          <w:tblHeader/>
        </w:trPr>
        <w:tc>
          <w:tcPr>
            <w:gridSpan w:val="4"/>
            <w:tcBorders>
              <w:bottom w:val="single" w:sz="12" w:space="0" w:color="666666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Supplementary Table. QNS rate by fluid-volume quartile (Cochran–Armitage trend test: p = 0.032)</w:t>
            </w:r>
          </w:p>
        </w:tc>
      </w:tr>
      <w:tr>
        <w:trPr>
          <w:trHeight w:val="590" w:hRule="auto"/>
          <w:tblHeader/>
        </w:trPr>
        <w:tc>
          <w:tcPr>
            <w:tcBorders>
              <w:bottom w:val="single" w:sz="8" w:space="0" w:color="000000"/>
              <w:top w:val="single" w:sz="12" w:space="0" w:color="666666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Volume Quartile</w:t>
            </w:r>
          </w:p>
        </w:tc>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 (Valid + QNS)</w:t>
            </w:r>
          </w:p>
        </w:tc>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QNS, n (%)</w:t>
            </w:r>
          </w:p>
        </w:tc>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Median Volume (mL)</w:t>
            </w:r>
          </w:p>
        </w:tc>
      </w:tr>
      <w:tr>
        <w:trPr>
          <w:trHeight w:val="599" w:hRule="auto"/>
        </w:trPr>
        <w:tc>
          <w:tcPr>
            <w:tcBorders>
              <w:bottom w:val="single" w:sz="4" w:space="0" w:color="CCCCCC"/>
              <w:top w:val="single" w:sz="8" w:space="0" w:color="000000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Q1 (0.1–4.0 mL)</w:t>
            </w:r>
          </w:p>
        </w:tc>
        <w:tc>
          <w:tcPr>
            <w:tcBorders>
              <w:bottom w:val="single" w:sz="4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</w:t>
            </w:r>
          </w:p>
        </w:tc>
        <w:tc>
          <w:tcPr>
            <w:tcBorders>
              <w:bottom w:val="single" w:sz="4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 (24.2%)</w:t>
            </w:r>
          </w:p>
        </w:tc>
        <w:tc>
          <w:tcPr>
            <w:tcBorders>
              <w:bottom w:val="single" w:sz="4" w:space="0" w:color="CCCCCC"/>
              <w:top w:val="single" w:sz="8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3.0</w:t>
            </w:r>
          </w:p>
        </w:tc>
      </w:tr>
      <w:tr>
        <w:trPr>
          <w:trHeight w:val="599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Q2 (4.0–8.0 mL)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 (9.1%)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6.0</w:t>
            </w:r>
          </w:p>
        </w:tc>
      </w:tr>
      <w:tr>
        <w:trPr>
          <w:trHeight w:val="599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Q3 (8.0–10.0 mL)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 (15.6%)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9.0</w:t>
            </w:r>
          </w:p>
        </w:tc>
      </w:tr>
      <w:tr>
        <w:trPr>
          <w:trHeight w:val="599" w:hRule="auto"/>
        </w:trPr>
        <w:tc>
          <w:tcPr>
            <w:tcBorders>
              <w:bottom w:val="single" w:sz="8" w:space="0" w:color="000000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Q4 (10.0–22.0 mL)</w:t>
            </w:r>
          </w:p>
        </w:tc>
        <w:tc>
          <w:tcPr>
            <w:tcBorders>
              <w:bottom w:val="single" w:sz="8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</w:t>
            </w:r>
          </w:p>
        </w:tc>
        <w:tc>
          <w:tcPr>
            <w:tcBorders>
              <w:bottom w:val="single" w:sz="8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(3.1%)</w:t>
            </w:r>
          </w:p>
        </w:tc>
        <w:tc>
          <w:tcPr>
            <w:tcBorders>
              <w:bottom w:val="single" w:sz="8" w:space="0" w:color="000000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13.8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595959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595959"/>
              </w:rPr>
              <w:t xml:space="preserve">Aspiration-level analysis: restricted to specimens with measured fluid volume &gt; 0; excludes 22 of 135 valid tests and 2 of 19 QNS tests with missing or zero fluid volume. Quartiles defined on the combined valid + QNS aspiration pool (n ≈ equal per bin). Trend test assesses whether QNS proportion decreases monotonically with increasing volume. Useful for setting a clinical minimum-volume recommendation.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solomon</cp:lastModifiedBy>
  <cp:revision>9</cp:revision>
  <dcterms:created xsi:type="dcterms:W3CDTF">2017-02-28T11:18:00Z</dcterms:created>
  <dcterms:modified xsi:type="dcterms:W3CDTF">2026-05-26T13:55:49Z</dcterms:modified>
  <cp:category/>
</cp:coreProperties>
</file>