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3"/>
        <w:gridCol w:w="2143"/>
        <w:gridCol w:w="633"/>
        <w:gridCol w:w="2313"/>
        <w:gridCol w:w="1300"/>
      </w:tblGrid>
      <w:tr>
        <w:trPr>
          <w:trHeight w:val="590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Blood: p = 0.009 (valid n=43, QNS n=9) | Cyst Fluid: p = 0.251 (valid n=80, QNS n=8)</w:t>
            </w:r>
          </w:p>
        </w:tc>
      </w:tr>
      <w:tr>
        <w:trPr>
          <w:trHeight w:val="556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Fluid volume — QNS vs. valid, by specimen type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 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Volume (mL)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IQR</w:t>
            </w:r>
          </w:p>
        </w:tc>
      </w:tr>
      <w:tr>
        <w:trPr>
          <w:trHeight w:val="594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Valid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[5.0–10.2]</w:t>
            </w:r>
          </w:p>
        </w:tc>
      </w:tr>
      <w:tr>
        <w:trPr>
          <w:trHeight w:val="59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[4.0–7.0]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[4.4–11.1]</w:t>
            </w:r>
          </w:p>
        </w:tc>
      </w:tr>
      <w:tr>
        <w:trPr>
          <w:trHeight w:val="601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QNS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[1.0–9.5]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Two-sided Mann–Whitney U test within each specimen type. Restricted to specimens with fluid volume &gt; 0. Stratified analysis avoids confounding by specimen-type-dependent differences in expected volume and collection workflow.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2026-05-19T15:52:33Z</dcterms:modified>
  <cp:category/>
</cp:coreProperties>
</file>