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3"/>
        <w:gridCol w:w="2143"/>
        <w:gridCol w:w="633"/>
        <w:gridCol w:w="2313"/>
        <w:gridCol w:w="1300"/>
      </w:tblGrid>
      <w:tr>
        <w:trPr>
          <w:trHeight w:val="590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Blood: p = 0.009 (valid n=39, QNS n=9) | Cyst Fluid: p = 0.324 (valid n=74, QNS n=8)</w:t>
            </w:r>
          </w:p>
        </w:tc>
      </w:tr>
      <w:tr>
        <w:trPr>
          <w:trHeight w:val="556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Fluid volume — QNS vs. valid, by specimen type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Type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Result Category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Volume (mL)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IQR</w:t>
            </w:r>
          </w:p>
        </w:tc>
      </w:tr>
      <w:tr>
        <w:trPr>
          <w:trHeight w:val="594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Valid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[5.0–10.0]</w:t>
            </w:r>
          </w:p>
        </w:tc>
      </w:tr>
      <w:tr>
        <w:trPr>
          <w:trHeight w:val="59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[4.0–7.0]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[4.1–10.0]</w:t>
            </w:r>
          </w:p>
        </w:tc>
      </w:tr>
      <w:tr>
        <w:trPr>
          <w:trHeight w:val="601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QNS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[1.0–9.5]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Aspiration-level analysis: one entry per unique patient × volume combination. Two-sided Mann–Whitney U test within each specimen type. Restricted to Blood and Cyst Fluid specimens with measured fluid volume &gt; 0. Excludes: 3 Other/FFPE valid tests; 22 Blood/Cyst Fluid valid tests with missing or zero fluid volume; 2 QNS tests with missing or zero fluid volume. Stratified analysis avoids confounding by specimen-type-dependent differences in expected volume and collection workflow.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2026-05-26T13:55:49Z</dcterms:modified>
  <cp:category/>
</cp:coreProperties>
</file>