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79"/>
        <w:gridCol w:w="633"/>
        <w:gridCol w:w="1543"/>
        <w:gridCol w:w="1195"/>
      </w:tblGrid>
      <w:tr>
        <w:trPr>
          <w:trHeight w:val="556" w:hRule="auto"/>
          <w:tblHeader/>
        </w:trPr>
        <w:tc>
          <w:tcPr>
            <w:gridSpan w:val="4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Supplementary Table. Spearman correlations: fluid volume vs. wild-type droplet counts</w:t>
            </w:r>
          </w:p>
        </w:tc>
      </w:tr>
      <w:tr>
        <w:trPr>
          <w:trHeight w:val="553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Spearman ρ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Cyst Fluid: Volume vs EXON 21 WT droplets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0.041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0.723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Cyst Fluid: Volume vs EXON 10 WT droplets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0.998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Blood: Volume vs EXON 21 WT droplets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</w:t>
            </w:r>
          </w:p>
        </w:tc>
      </w:tr>
      <w:tr>
        <w:trPr>
          <w:trHeight w:val="600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Blood: Volume vs EXON 10 WT droplets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0.602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PIK3CA Multiplex valid tests, stratified by specimen type. Spearman rank correlation (non-parametric, distribution-free). Test-level analysis: one entry per assay run, because wild-type droplet counts are measured separately for each assay (unlike fluid-volume analyses in Table 2 and other supplemental tables, which are aspiration-level). Restricted to specimens with measured fluid volume &gt; 0. Correlations not reported where n &lt; 4.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2026-05-26T13:55:49Z</dcterms:modified>
  <cp:category/>
</cp:coreProperties>
</file>