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668"/>
        <w:gridCol w:w="3651"/>
      </w:tblGrid>
      <w:tr>
        <w:trPr>
          <w:trHeight w:val="590" w:hRule="auto"/>
          <w:tblHeader/>
        </w:trPr>
        <w:tc>
          <w:tcPr>
            <w:gridSpan w:val="2"/>
            <w:tcBorders>
              <w:bottom w:val="single" w:sz="12" w:space="0" w:color="666666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Table 1. Patient and Cohort Characteristics (N = 160 records; 143 unique patients)</w:t>
            </w:r>
          </w:p>
        </w:tc>
      </w:tr>
      <w:tr>
        <w:trPr>
          <w:trHeight w:val="590" w:hRule="auto"/>
          <w:tblHeader/>
        </w:trPr>
        <w:tc>
          <w:tcPr>
            <w:tcBorders>
              <w:bottom w:val="single" w:sz="8" w:space="0" w:color="000000"/>
              <w:top w:val="single" w:sz="12" w:space="0" w:color="666666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12" w:space="0" w:color="666666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N (%) / Value</w:t>
            </w:r>
          </w:p>
        </w:tc>
      </w:tr>
      <w:tr>
        <w:trPr>
          <w:trHeight w:val="599" w:hRule="auto"/>
        </w:trPr>
        <w:tc>
          <w:tcPr>
            <w:tcBorders>
              <w:bottom w:val="single" w:sz="4" w:space="0" w:color="CCCCCC"/>
              <w:top w:val="single" w:sz="8" w:space="0" w:color="000000"/>
              <w:left w:val="single" w:sz="8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Demographics</w:t>
            </w:r>
          </w:p>
        </w:tc>
        <w:tc>
          <w:tcPr>
            <w:tcBorders>
              <w:bottom w:val="single" w:sz="4" w:space="0" w:color="CCCCCC"/>
              <w:top w:val="single" w:sz="8" w:space="0" w:color="000000"/>
              <w:left w:val="none" w:sz="0" w:space="0" w:color="000000"/>
              <w:right w:val="single" w:sz="8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Age at collection, years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(N = 143 of 143 patients)</w:t>
            </w:r>
          </w:p>
        </w:tc>
      </w:tr>
      <w:tr>
        <w:trPr>
          <w:trHeight w:val="599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Mean (SD)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9.9 (11.3)</w:t>
            </w:r>
          </w:p>
        </w:tc>
      </w:tr>
      <w:tr>
        <w:trPr>
          <w:trHeight w:val="597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Median [IQR]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5.3 [1.4–15.3]</w:t>
            </w:r>
          </w:p>
        </w:tc>
      </w:tr>
      <w:tr>
        <w:trPr>
          <w:trHeight w:val="598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Range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 – 60.9</w:t>
            </w:r>
          </w:p>
        </w:tc>
      </w:tr>
      <w:tr>
        <w:trPr>
          <w:trHeight w:val="598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Age group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99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Pediatric (&lt; 18 years)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122 (85.3%)</w:t>
            </w:r>
          </w:p>
        </w:tc>
      </w:tr>
      <w:tr>
        <w:trPr>
          <w:trHeight w:val="599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Adult (≥ 18 years)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 (14.7%)</w:t>
            </w:r>
          </w:p>
        </w:tc>
      </w:tr>
      <w:tr>
        <w:trPr>
          <w:trHeight w:val="601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Female sex assigned at birth, n (%)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74 (51.7%) (N = 143 of 143 patients)</w:t>
            </w:r>
          </w:p>
        </w:tc>
      </w:tr>
      <w:tr>
        <w:trPr>
          <w:trHeight w:val="602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Patient Origin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(N = 143 of 143 patients)</w:t>
            </w:r>
          </w:p>
        </w:tc>
      </w:tr>
      <w:tr>
        <w:trPr>
          <w:trHeight w:val="599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Internally processed, n (%)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 (30.1%)</w:t>
            </w:r>
          </w:p>
        </w:tc>
      </w:tr>
      <w:tr>
        <w:trPr>
          <w:trHeight w:val="599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Externally referred, n (%)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100 (69.9%)</w:t>
            </w:r>
          </w:p>
        </w:tc>
      </w:tr>
      <w:tr>
        <w:trPr>
          <w:trHeight w:val="602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Testing Overview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59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Total tests ordered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160</w:t>
            </w:r>
          </w:p>
        </w:tc>
      </w:tr>
      <w:tr>
        <w:trPr>
          <w:trHeight w:val="596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Unique patients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143</w:t>
            </w:r>
          </w:p>
        </w:tc>
      </w:tr>
      <w:tr>
        <w:trPr>
          <w:trHeight w:val="599" w:hRule="auto"/>
        </w:trPr>
        <w:tc>
          <w:tcPr>
            <w:tcBorders>
              <w:bottom w:val="single" w:sz="8" w:space="0" w:color="000000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Internally processed tests, n (%)</w:t>
            </w:r>
          </w:p>
        </w:tc>
        <w:tc>
          <w:tcPr>
            <w:tcBorders>
              <w:bottom w:val="single" w:sz="8" w:space="0" w:color="000000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45 (28.1%)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595959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595959"/>
              </w:rPr>
              <w:t xml:space="preserve">SD = standard deviation. IQR = interquartile range. Age from column AP (days) / 365.25. Patient-level rows computed across all unique patients (N = 143); subgroup denominators exclude missing values. Internally processed tests = test-level count.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solomon</cp:lastModifiedBy>
  <cp:revision>9</cp:revision>
  <dcterms:created xsi:type="dcterms:W3CDTF">2017-02-28T11:18:00Z</dcterms:created>
  <dcterms:modified xsi:type="dcterms:W3CDTF">2026-05-19T15:52:32Z</dcterms:modified>
  <cp:category/>
</cp:coreProperties>
</file>