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8"/>
        <w:gridCol w:w="3651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Patient and Cohort Characteristics (N = 160 records; 143 unique patients)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 / 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at collection, years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 (11.3)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[IQR]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 [1.4–15.3]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Range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– 60.9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Pediatric (&lt;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 (85.3%)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Adult (≥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(14.7%)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 sex assigned at birth,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(51.7%) (N = 143 of 143 patients)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 Origin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(69.9%)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Testing Overview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tests,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(28.1%)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SD = standard deviation. IQR = interquartile range. Age from column AP (days) / 365.25. Patient-level rows computed across all unique patients (N = 143); subgroup denominators exclude missing values. Internally processed tests = test-level count.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2026-05-26T13:55:48Z</dcterms:modified>
  <cp:category/>
</cp:coreProperties>
</file>