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29"/>
        <w:gridCol w:w="1856"/>
        <w:gridCol w:w="1856"/>
        <w:gridCol w:w="1856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2. Test Volume, Validity, and Results (N = 160 tests)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Positive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Negative n (%)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 Validity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Analyzable (valid)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(84.4%)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(33.3%)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(66.7%)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Results by Assay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(67.2%)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(83.3%)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(84.8%)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(41.9%)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(58.1%)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FFPE Scrolls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Source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(84.8%)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Lymphatic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(43.2%)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(56.8%)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(37.5%)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(62.5%)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Collection Metrics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Fluid volume, mL — median (N=112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 (N=39)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(N=84)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concentration, ng/µL — median (N=134)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used in assay, ng — median [IQR] (N=133)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47.6 [23.8–60.0]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39.7 [28.6–60.0]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 [22.8–60.0]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21 WT droplets — mean (SD) (N=118)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2331.2 (1901.0)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2046.8 (1327.6)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2471.6 (2121.7)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10 WT droplets — mean (SD) (N=118)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3147.7 (2492.5)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2917.1 (2024.6)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3261.6 (2698.5)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QNS = quantity not sufficient. Blank result entries excluded from all counts. NEG* treated as Negative. Fluid volume reported at patient level (unique patient ID); DNA and droplet metrics at test level (all valid tests).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2026-05-19T15:52:32Z</dcterms:modified>
  <cp:category/>
</cp:coreProperties>
</file>