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47"/>
        <w:gridCol w:w="2524"/>
        <w:gridCol w:w="2524"/>
        <w:gridCol w:w="2524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Test Volume, Validity, and Results (N = 160 tests)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Positive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Negative n (%)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 Validity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Analyzable (valid)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(84.4%)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(33.3%)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(66.7%)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Results by Assay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(88.1%)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(67.2%)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(7.4%)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(83.3%)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(34.1%)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(63.7%)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(58.1%)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FFPE Scrolls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(33.3%)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Collection Metrics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Fluid volume, mL — median (N=112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(N=84)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concentration, ng/µL — median (N=134)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used in assay, ng — median [IQR] (N=133)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47.6 [23.8–60.0]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 [28.6–60.0]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 [22.8–60.0]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21 WT droplets — median [IQR]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1975.7 [1058.0–2942.5]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1598.3 [1182.0–2604.2]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2145.3 [849.7–3302.5]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10 WT droplets — median [IQR]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2648.3 [1395.8–4314.5]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2148.7 [1515.2–4222.0]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2697.3 [1105.0–4440.0]</w:t>
            </w:r>
          </w:p>
        </w:tc>
      </w:tr>
      <w:tr>
        <w:trPr>
          <w:trHeight w:val="602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Single probe droplets — median [IQR] (N=15, TEK+BRAF only)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2063.0 [940.7–3154.3]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2046.0 [1175.5–2205.5]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2602.3 [990.3–3632.0]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QNS = quantity not sufficient. Blank result entries excluded from all counts. NEG* treated as Negative. Fluid volume reported at patient level (unique patient ID); DNA and droplet metrics at test level (all valid tests).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2026-05-22T13:52:12Z</dcterms:modified>
  <cp:category/>
</cp:coreProperties>
</file>