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80"/>
        <w:gridCol w:w="2524"/>
        <w:gridCol w:w="2524"/>
        <w:gridCol w:w="2524"/>
      </w:tblGrid>
      <w:tr>
        <w:trPr>
          <w:trHeight w:val="590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2. Test Volume, Validity, and Results (N = 160 tests)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Positive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Negative n (%)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 Validity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Analyzable (valid)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(84.4%)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(33.3%)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(66.7%)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QNS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(11.9%)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Cancelled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Results by Assay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PIK3CA Multiplex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(88.1%)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(32.8%)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(67.2%)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(7.4%)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(4.4%)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(83.3%)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Type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(34.1%)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(84.8%)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(63.7%)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(41.9%)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(58.1%)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FFPE Scrolls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(33.3%)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Collection Metrics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Fluid volume, mL — median (N=113 aspirations with vol &gt; 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 (N=36)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 (N=77)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concentration, ng/µL — median (N=134)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used in assay, ng — median [IQR] (N=133)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47.6 [23.8–60.0]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39.7 [28.6–60.0]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49.2 [22.8–60.0]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21 WT droplets — median [IQR] (N=118)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1975.7 [1058.0–2942.5]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1598.3 [1182.0–2604.2]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2145.3 [849.7–3302.5]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10 WT droplets — median [IQR] (N=118)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2648.3 [1395.8–4314.5]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2148.7 [1515.2–4222.0]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2697.3 [1105.0–4440.0]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TEK single probe droplets — median [IQR] (N=10)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2046.0 [915.8–2515.0]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2029.0 [891.0–2063.0]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2602.3 [990.3–2676.7]</w:t>
            </w:r>
          </w:p>
        </w:tc>
      </w:tr>
      <w:tr>
        <w:trPr>
          <w:trHeight w:val="602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BRAF single probe droplets — median [IQR] (N=5)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3632.0 [1084.3–5521.0]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6488.0 [6488.0–6488.0]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2358.2 [997.4–4104.2]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QNS = quantity not sufficient. Blank result entries excluded from all counts. NEG* treated as Negative. Fluid volume reported per aspiration (one entry per unique patient × volume combination); 22 of 135 valid tests excluded for missing or zero fluid volume. DNA and droplet metrics at test level (all valid tests).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2026-05-26T13:55:48Z</dcterms:modified>
  <cp:category/>
</cp:coreProperties>
</file>