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D2641" w14:textId="77777777" w:rsidR="00D66069" w:rsidRDefault="00D66069"/>
    <w:p w14:paraId="749D2642" w14:textId="77777777" w:rsidR="00D66069" w:rsidRDefault="00D66069">
      <w:pPr>
        <w:sectPr w:rsidR="00D66069">
          <w:type w:val="continuous"/>
          <w:pgSz w:w="11906" w:h="16838"/>
          <w:pgMar w:top="1417" w:right="1417" w:bottom="1417" w:left="1417" w:header="708" w:footer="708" w:gutter="0"/>
          <w:cols w:space="720"/>
        </w:sectPr>
      </w:pPr>
    </w:p>
    <w:tbl>
      <w:tblPr>
        <w:tblW w:w="18720" w:type="dxa"/>
        <w:jc w:val="center"/>
        <w:tblLayout w:type="fixed"/>
        <w:tblLook w:val="0420" w:firstRow="1" w:lastRow="0" w:firstColumn="0" w:lastColumn="0" w:noHBand="0" w:noVBand="1"/>
      </w:tblPr>
      <w:tblGrid>
        <w:gridCol w:w="1509"/>
        <w:gridCol w:w="1581"/>
        <w:gridCol w:w="1087"/>
        <w:gridCol w:w="2368"/>
        <w:gridCol w:w="2523"/>
        <w:gridCol w:w="2281"/>
        <w:gridCol w:w="2361"/>
        <w:gridCol w:w="2311"/>
        <w:gridCol w:w="2699"/>
      </w:tblGrid>
      <w:tr w:rsidR="00D66069" w14:paraId="749D2644" w14:textId="77777777" w:rsidTr="00F84EAE">
        <w:trPr>
          <w:tblHeader/>
          <w:jc w:val="center"/>
        </w:trPr>
        <w:tc>
          <w:tcPr>
            <w:tcW w:w="20551" w:type="dxa"/>
            <w:gridSpan w:val="9"/>
            <w:tcBorders>
              <w:top w:val="single" w:sz="8" w:space="0" w:color="000000"/>
              <w:left w:val="single" w:sz="8" w:space="0" w:color="000000"/>
              <w:bottom w:val="single" w:sz="12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43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lastRenderedPageBreak/>
              <w:t>Table 3. Assay Performance Metrics by Result (valid tests only)</w:t>
            </w:r>
          </w:p>
        </w:tc>
      </w:tr>
      <w:tr w:rsidR="00D66069" w14:paraId="749D264E" w14:textId="77777777" w:rsidTr="00F84EAE">
        <w:trPr>
          <w:tblHeader/>
          <w:jc w:val="center"/>
        </w:trPr>
        <w:tc>
          <w:tcPr>
            <w:tcW w:w="1656" w:type="dxa"/>
            <w:tcBorders>
              <w:top w:val="single" w:sz="12" w:space="0" w:color="666666"/>
              <w:left w:val="single" w:sz="8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45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Assay</w:t>
            </w:r>
          </w:p>
        </w:tc>
        <w:tc>
          <w:tcPr>
            <w:tcW w:w="1736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46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Result</w:t>
            </w:r>
          </w:p>
        </w:tc>
        <w:tc>
          <w:tcPr>
            <w:tcW w:w="1193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47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n (%)</w:t>
            </w:r>
          </w:p>
        </w:tc>
        <w:tc>
          <w:tcPr>
            <w:tcW w:w="2600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48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Fluid Vol (mL) Median [IQR]</w:t>
            </w:r>
          </w:p>
        </w:tc>
        <w:tc>
          <w:tcPr>
            <w:tcW w:w="2770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49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DNA Conc (ng/µL) Median [IQR]</w:t>
            </w:r>
          </w:p>
        </w:tc>
        <w:tc>
          <w:tcPr>
            <w:tcW w:w="2504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4A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DNA Used (ng) Median [IQR]</w:t>
            </w:r>
          </w:p>
        </w:tc>
        <w:tc>
          <w:tcPr>
            <w:tcW w:w="2592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4B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Average Internal VAF % (n)</w:t>
            </w:r>
          </w:p>
        </w:tc>
        <w:tc>
          <w:tcPr>
            <w:tcW w:w="2537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4C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Specimen Type: Blood n (%)</w:t>
            </w:r>
          </w:p>
        </w:tc>
        <w:tc>
          <w:tcPr>
            <w:tcW w:w="2963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4D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Specimen Type: Cyst Fluid n (%)</w:t>
            </w:r>
          </w:p>
        </w:tc>
      </w:tr>
      <w:tr w:rsidR="00D66069" w14:paraId="749D2658" w14:textId="77777777" w:rsidTr="00F84EAE">
        <w:trPr>
          <w:jc w:val="center"/>
        </w:trPr>
        <w:tc>
          <w:tcPr>
            <w:tcW w:w="1656" w:type="dxa"/>
            <w:tcBorders>
              <w:top w:val="single" w:sz="8" w:space="0" w:color="000000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4F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PIK3CA Multiplex</w:t>
            </w:r>
          </w:p>
        </w:tc>
        <w:tc>
          <w:tcPr>
            <w:tcW w:w="1736" w:type="dxa"/>
            <w:tcBorders>
              <w:top w:val="single" w:sz="8" w:space="0" w:color="000000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50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1193" w:type="dxa"/>
            <w:tcBorders>
              <w:top w:val="single" w:sz="8" w:space="0" w:color="000000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51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600" w:type="dxa"/>
            <w:tcBorders>
              <w:top w:val="single" w:sz="8" w:space="0" w:color="000000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52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770" w:type="dxa"/>
            <w:tcBorders>
              <w:top w:val="single" w:sz="8" w:space="0" w:color="000000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53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504" w:type="dxa"/>
            <w:tcBorders>
              <w:top w:val="single" w:sz="8" w:space="0" w:color="000000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54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592" w:type="dxa"/>
            <w:tcBorders>
              <w:top w:val="single" w:sz="8" w:space="0" w:color="000000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55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537" w:type="dxa"/>
            <w:tcBorders>
              <w:top w:val="single" w:sz="8" w:space="0" w:color="000000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56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963" w:type="dxa"/>
            <w:tcBorders>
              <w:top w:val="single" w:sz="8" w:space="0" w:color="000000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57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</w:tr>
      <w:tr w:rsidR="00D66069" w14:paraId="749D2662" w14:textId="77777777" w:rsidTr="00F84EAE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59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5A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5B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39 (32.8%)</w:t>
            </w: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5C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8.5 [6.0–10.0]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5D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6.0 [1.3–20.9]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5E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39.7 [31.8–60.0]</w:t>
            </w: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5F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9.18% (n=39)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60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 (5.1%)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61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35 (89.7%)</w:t>
            </w:r>
          </w:p>
        </w:tc>
      </w:tr>
      <w:tr w:rsidR="00D66069" w14:paraId="749D266C" w14:textId="77777777" w:rsidTr="00F84EAE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63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64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p.E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542K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65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14 (35.9%)</w:t>
            </w: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66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8.0 [5.2–8.5]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67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2.6 [0.8–7.5]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68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33.1 [22.5–60.0]</w:t>
            </w: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69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6.31% (n=14)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6A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 (7.1%)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6B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12 (85.7%)</w:t>
            </w:r>
          </w:p>
        </w:tc>
      </w:tr>
      <w:tr w:rsidR="00D66069" w14:paraId="749D2676" w14:textId="77777777" w:rsidTr="00F84EAE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6D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6E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p.E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545K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6F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17 (43.6%)</w:t>
            </w: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70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9.0 [7.0–15.5]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71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12.2 [3.1–26.0]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72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57.0 [35.9–60.0]</w:t>
            </w: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73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14.17% (n=17)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74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0 (0.0%)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75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17 (100.0%)</w:t>
            </w:r>
          </w:p>
        </w:tc>
      </w:tr>
      <w:tr w:rsidR="00D66069" w14:paraId="749D2680" w14:textId="77777777" w:rsidTr="00F84EAE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77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78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p.H1047R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79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8 (20.5%)</w:t>
            </w: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7A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4.0 [3.0–9.5]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7B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3.7 [2.1–8.8]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7C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37.6 [33.5–55.1]</w:t>
            </w: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7D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3.61% (n=8)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7E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 (12.5%)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7F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6 (75.0%)</w:t>
            </w:r>
          </w:p>
        </w:tc>
      </w:tr>
      <w:tr w:rsidR="00D66069" w14:paraId="749D268A" w14:textId="77777777" w:rsidTr="00F84EAE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81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82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Negative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83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80 (67.2%)</w:t>
            </w: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84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8.0 [4.8–10.2]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85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4.0 [0.9–36.5]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86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48.0 [21.9–60.0]</w:t>
            </w: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87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—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88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32 (40.0%)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89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47 (58.8%)</w:t>
            </w:r>
          </w:p>
        </w:tc>
      </w:tr>
      <w:tr w:rsidR="00D66069" w14:paraId="749D2694" w14:textId="77777777" w:rsidTr="00F84EAE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8B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8C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p-value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8D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8E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0.343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8F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0.788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90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0.930</w:t>
            </w: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91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—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92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&lt;0.001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93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</w:p>
        </w:tc>
      </w:tr>
      <w:tr w:rsidR="00D66069" w14:paraId="749D269E" w14:textId="77777777" w:rsidTr="00F84EAE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95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TEK</w:t>
            </w: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96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97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98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99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9A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9B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9C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9D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</w:tr>
      <w:tr w:rsidR="00D66069" w14:paraId="749D26A8" w14:textId="77777777" w:rsidTr="00F84EAE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9F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A0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Positive (p.L914F)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A1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 (50.0%)</w:t>
            </w: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A2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4.0 [4.0–10.5]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A3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1.6 [0.2–1.8]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A4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28.6 [6.1–48.0]</w:t>
            </w: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A5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7.48% (n=5)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A6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 (100.0%)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A7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0 (0.0%)</w:t>
            </w:r>
          </w:p>
        </w:tc>
      </w:tr>
      <w:tr w:rsidR="00D66069" w14:paraId="749D26B2" w14:textId="77777777" w:rsidTr="00F84EAE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A9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AA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Negative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AB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 (50.0%)</w:t>
            </w: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AC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9.8 [8.6–10.2]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AD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1.9 [0.6–2.1]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AE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53.3 [16.3–56.1]</w:t>
            </w: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AF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—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B0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 (100.0%)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B1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0 (0.0%)</w:t>
            </w:r>
          </w:p>
        </w:tc>
      </w:tr>
      <w:tr w:rsidR="00D66069" w14:paraId="749D26BC" w14:textId="77777777" w:rsidTr="00F84EAE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B3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B4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p-value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B5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B6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0.533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B7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0.402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B8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0.210</w:t>
            </w: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B9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—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BA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--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BB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</w:p>
        </w:tc>
      </w:tr>
      <w:tr w:rsidR="00D66069" w14:paraId="749D26C6" w14:textId="77777777" w:rsidTr="00F84EAE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BD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BE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BF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C0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C1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C2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C3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C4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C5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</w:tr>
      <w:tr w:rsidR="00D66069" w14:paraId="749D26D0" w14:textId="77777777" w:rsidTr="00F84EAE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C7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C8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Positive (p.V600E)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C9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 (16.7%)</w:t>
            </w: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CA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18.5 [18.5–18.5]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CB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59.0 [59.0–59.0]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CC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60.0 [60.0–60.0]</w:t>
            </w: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CD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12.00% (n=1)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CE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0 (0.0%)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CF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 (100.0%)</w:t>
            </w:r>
          </w:p>
        </w:tc>
      </w:tr>
      <w:tr w:rsidR="00D66069" w14:paraId="749D26DA" w14:textId="77777777" w:rsidTr="00F84EAE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D1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D2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Negative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D3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 (83.3%)</w:t>
            </w: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D4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9.8 [5.0–10.0]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D5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45.0 [9.3–142.0]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D6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57.8 [50.5–64.5]</w:t>
            </w: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D7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—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D8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 (40.0%)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D9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 (60.0%)</w:t>
            </w:r>
          </w:p>
        </w:tc>
      </w:tr>
      <w:tr w:rsidR="00D66069" w14:paraId="749D26E4" w14:textId="77777777" w:rsidTr="00F84EAE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DB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DC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p-value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DD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DE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--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DF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--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E0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--</w:t>
            </w: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E1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—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E2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1.000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E3" w14:textId="77777777" w:rsidR="00D66069" w:rsidRDefault="00D660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</w:p>
        </w:tc>
      </w:tr>
      <w:tr w:rsidR="00D66069" w14:paraId="749D26E6" w14:textId="77777777" w:rsidTr="00F84EAE">
        <w:trPr>
          <w:jc w:val="center"/>
        </w:trPr>
        <w:tc>
          <w:tcPr>
            <w:tcW w:w="20551" w:type="dxa"/>
            <w:gridSpan w:val="9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6E5" w14:textId="77777777" w:rsidR="00D6606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IQR = interquartile range. VAF = variant allele frequency. Continuous metrics reported as Median [IQR]; VAF reported as mean (n contributing). Specimen type breakdown reflects tests within each result group. p-values: Mann-Whitney U test for continuous variables; Fisher's exact test for specimen type (Blood vs Cyst Fluid). VAF not statistically compared (negatives have no detected variant by definition). PIK3CA variant sub-row percentages are of PIK3CA Positive tests.</w:t>
            </w:r>
          </w:p>
        </w:tc>
      </w:tr>
    </w:tbl>
    <w:p w14:paraId="749D26E7" w14:textId="77777777" w:rsidR="00D66069" w:rsidRDefault="00D66069">
      <w:pPr>
        <w:sectPr w:rsidR="00D66069" w:rsidSect="00F84EAE">
          <w:type w:val="oddPage"/>
          <w:pgSz w:w="20160" w:h="12240" w:orient="landscape"/>
          <w:pgMar w:top="1417" w:right="1417" w:bottom="1417" w:left="1417" w:header="708" w:footer="708" w:gutter="0"/>
          <w:cols w:space="720"/>
          <w:docGrid w:linePitch="326"/>
        </w:sectPr>
      </w:pPr>
    </w:p>
    <w:p w14:paraId="749D26E8" w14:textId="77777777" w:rsidR="005A1BD1" w:rsidRDefault="005A1BD1"/>
    <w:sectPr w:rsidR="005A1BD1" w:rsidSect="00F84EAE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93169221">
    <w:abstractNumId w:val="1"/>
  </w:num>
  <w:num w:numId="2" w16cid:durableId="874539729">
    <w:abstractNumId w:val="2"/>
  </w:num>
  <w:num w:numId="3" w16cid:durableId="2111930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069"/>
    <w:rsid w:val="00047FAA"/>
    <w:rsid w:val="002D6ACC"/>
    <w:rsid w:val="005A1BD1"/>
    <w:rsid w:val="00D66069"/>
    <w:rsid w:val="00F84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9D2641"/>
  <w15:docId w15:val="{524C7B43-85D5-1148-9EB2-5BC9AC14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046da4d3-ba20-4986-879c-49e262eff745}" enabled="1" method="Standard" siteId="{9f693e63-5e9e-4ced-98a4-8ab28f9d0c2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Solomon Johnson</cp:lastModifiedBy>
  <cp:revision>11</cp:revision>
  <dcterms:created xsi:type="dcterms:W3CDTF">2017-02-28T11:18:00Z</dcterms:created>
  <dcterms:modified xsi:type="dcterms:W3CDTF">2026-05-19T22:55:00Z</dcterms:modified>
  <cp:category/>
</cp:coreProperties>
</file>