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736"/>
        <w:gridCol w:w="1193"/>
        <w:gridCol w:w="2600"/>
        <w:gridCol w:w="2770"/>
        <w:gridCol w:w="2504"/>
        <w:gridCol w:w="2592"/>
        <w:gridCol w:w="2537"/>
        <w:gridCol w:w="2963"/>
      </w:tblGrid>
      <w:tr>
        <w:trPr>
          <w:trHeight w:val="554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3. Assay Performance Metrics by Result (valid tests only)</w:t>
            </w:r>
          </w:p>
        </w:tc>
      </w:tr>
      <w:tr>
        <w:trPr>
          <w:trHeight w:val="554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Assay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Result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Fluid Vol (mL) Median [IQR]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DNA Conc (ng/µL) Median [IQR]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DNA Used (ng) Median [IQR]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Average Internal VAF % (n)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Specimen Type: Blood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Specimen Type: Cyst Fluid n (%)</w:t>
            </w:r>
          </w:p>
        </w:tc>
      </w:tr>
      <w:tr>
        <w:trPr>
          <w:trHeight w:val="562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PIK3CA Multiplex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(32.8%)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 [6.0–10.0]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 [1.3–20.9]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39.7 [31.8–60.0]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9.18% (n=39)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(5.1%)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(89.7%)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p.E542K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(35.9%)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 [5.2–8.5]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 [0.8–7.5]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 [22.5–60.0]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6.31% (n=14)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(85.7%)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p.E545K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(43.6%)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 [7.0–15.5]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 [3.1–26.0]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57.0 [35.9–60.0]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14.17% (n=17)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(100.0%)</w:t>
            </w:r>
          </w:p>
        </w:tc>
      </w:tr>
      <w:tr>
        <w:trPr>
          <w:trHeight w:val="56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p.H1047R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(20.5%)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[3.0–9.5]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 [2.1–8.8]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 [33.5–55.1]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3.61% (n=8)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(12.5%)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(75.0%)</w:t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 (67.2%)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 [4.8–10.2]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[0.9–36.5]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 [21.9–60.0]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(40.0%)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(58.8%)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p-value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0.343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0.788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0.930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&lt;0.001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 (p.L914F)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[4.0–10.5]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 [0.2–1.8]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 [6.1–48.0]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7.48% (n=5)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(100.0%)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 [8.6–10.2]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 [0.6–2.1]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53.3 [16.3–56.1]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(100.0%)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p-value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0.533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0.402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0.210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 (p.V600E)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18.5 [18.5–18.5]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59.0 [59.0–59.0]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60.0 [60.0–60.0]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12.00% (n=1)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(100.0%)</w:t>
            </w:r>
          </w:p>
        </w:tc>
      </w:tr>
      <w:tr>
        <w:trPr>
          <w:trHeight w:val="56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(83.3%)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 [5.0–10.0]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 [9.3–142.0]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57.8 [50.5–64.5]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(40.0%)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(60.0%)</w:t>
            </w:r>
          </w:p>
        </w:tc>
      </w:tr>
      <w:tr>
        <w:trPr>
          <w:trHeight w:val="55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--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—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IQR = interquartile range. VAF = variant allele frequency. Continuous metrics reported as Median [IQR]; VAF reported as mean (n contributing). Specimen type breakdown reflects tests within each result group. p-values: Mann-Whitney U test for continuous variables; Fisher's exact test for specimen type (Blood vs Cyst Fluid). VAF not statistically compared (negatives have no detected variant by definition). PIK3CA variant sub-row percentages are of PIK3CA Positive tests.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2026-05-22T13:52:13Z</dcterms:modified>
  <cp:category/>
</cp:coreProperties>
</file>